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70" w:rsidRPr="00DE0C53" w:rsidRDefault="00415970" w:rsidP="00415970">
      <w:pPr>
        <w:pStyle w:val="SPDh2"/>
      </w:pPr>
      <w:bookmarkStart w:id="0" w:name="_Toc26357859"/>
      <w:bookmarkStart w:id="1" w:name="_Toc46748969"/>
      <w:r w:rsidRPr="00DE0C53">
        <w:t>Section I – Invitation for Tenders</w:t>
      </w:r>
      <w:bookmarkEnd w:id="0"/>
      <w:bookmarkEnd w:id="1"/>
      <w:r w:rsidRPr="00DE0C53">
        <w:t xml:space="preserve"> </w:t>
      </w:r>
    </w:p>
    <w:p w:rsidR="00415970" w:rsidRPr="00DE0C53" w:rsidRDefault="00415970" w:rsidP="00415970">
      <w:pPr>
        <w:pStyle w:val="Heading1a"/>
        <w:keepNext w:val="0"/>
        <w:keepLines w:val="0"/>
        <w:tabs>
          <w:tab w:val="clear" w:pos="-720"/>
        </w:tabs>
        <w:suppressAutoHyphens w:val="0"/>
        <w:rPr>
          <w:bCs/>
          <w:smallCaps w:val="0"/>
          <w:sz w:val="44"/>
          <w:szCs w:val="44"/>
        </w:rPr>
      </w:pPr>
      <w:r w:rsidRPr="00DE0C53">
        <w:rPr>
          <w:bCs/>
          <w:smallCaps w:val="0"/>
          <w:sz w:val="44"/>
          <w:szCs w:val="44"/>
        </w:rPr>
        <w:t>Framework Agreement(s) for Goods</w:t>
      </w:r>
    </w:p>
    <w:p w:rsidR="00415970" w:rsidRPr="00DE0C53" w:rsidRDefault="00415970" w:rsidP="00415970">
      <w:pPr>
        <w:pStyle w:val="Heading1a"/>
        <w:keepNext w:val="0"/>
        <w:keepLines w:val="0"/>
        <w:tabs>
          <w:tab w:val="clear" w:pos="-720"/>
        </w:tabs>
        <w:suppressAutoHyphens w:val="0"/>
        <w:spacing w:before="120"/>
        <w:rPr>
          <w:bCs/>
          <w:smallCaps w:val="0"/>
          <w:sz w:val="28"/>
          <w:szCs w:val="28"/>
        </w:rPr>
      </w:pPr>
      <w:r w:rsidRPr="00DE0C53">
        <w:rPr>
          <w:bCs/>
          <w:smallCaps w:val="0"/>
          <w:sz w:val="28"/>
          <w:szCs w:val="28"/>
        </w:rPr>
        <w:t>(Primary Procurement)</w:t>
      </w:r>
    </w:p>
    <w:p w:rsidR="00415970" w:rsidRPr="00BF3ECC" w:rsidRDefault="00415970" w:rsidP="00415970">
      <w:pPr>
        <w:jc w:val="center"/>
        <w:rPr>
          <w:b/>
          <w:sz w:val="32"/>
          <w:szCs w:val="32"/>
        </w:rPr>
      </w:pPr>
    </w:p>
    <w:p w:rsidR="00415970" w:rsidRPr="00BF3ECC" w:rsidRDefault="00415970" w:rsidP="00415970">
      <w:pPr>
        <w:jc w:val="center"/>
        <w:rPr>
          <w:b/>
          <w:sz w:val="32"/>
          <w:szCs w:val="32"/>
        </w:rPr>
      </w:pPr>
      <w:r>
        <w:rPr>
          <w:b/>
          <w:sz w:val="32"/>
          <w:szCs w:val="32"/>
        </w:rPr>
        <w:t>Procurement of Materials for GWCL Bottling Plant Operations</w:t>
      </w:r>
      <w:r w:rsidRPr="00DE0C53">
        <w:rPr>
          <w:b/>
          <w:sz w:val="44"/>
          <w:szCs w:val="44"/>
        </w:rPr>
        <w:t xml:space="preserve"> </w:t>
      </w:r>
    </w:p>
    <w:p w:rsidR="00415970" w:rsidRDefault="00415970" w:rsidP="00415970">
      <w:pPr>
        <w:pStyle w:val="Title"/>
        <w:rPr>
          <w:b w:val="0"/>
          <w:bCs/>
          <w:i/>
          <w:iCs/>
          <w:sz w:val="32"/>
          <w:szCs w:val="32"/>
        </w:rPr>
      </w:pPr>
    </w:p>
    <w:p w:rsidR="00415970" w:rsidRPr="00DE0C53" w:rsidRDefault="00415970" w:rsidP="00415970">
      <w:pPr>
        <w:pStyle w:val="Title"/>
        <w:rPr>
          <w:b w:val="0"/>
          <w:sz w:val="56"/>
        </w:rPr>
      </w:pPr>
      <w:r w:rsidRPr="007A21D0">
        <w:rPr>
          <w:spacing w:val="-2"/>
          <w:sz w:val="28"/>
          <w:szCs w:val="28"/>
        </w:rPr>
        <w:t>GR/GWCL/GD/0039/2021</w:t>
      </w:r>
      <w:r>
        <w:rPr>
          <w:spacing w:val="-2"/>
          <w:sz w:val="28"/>
          <w:szCs w:val="28"/>
        </w:rPr>
        <w:t>/01</w:t>
      </w:r>
      <w:r w:rsidRPr="00DE0C53">
        <w:rPr>
          <w:sz w:val="56"/>
        </w:rPr>
        <w:t xml:space="preserve"> </w:t>
      </w:r>
    </w:p>
    <w:p w:rsidR="00415970" w:rsidRDefault="00415970" w:rsidP="00415970">
      <w:pPr>
        <w:ind w:left="360" w:hanging="360"/>
        <w:jc w:val="both"/>
      </w:pPr>
    </w:p>
    <w:p w:rsidR="00415970" w:rsidRPr="00DE0C53" w:rsidRDefault="00415970" w:rsidP="00415970">
      <w:pPr>
        <w:ind w:left="360" w:hanging="360"/>
        <w:jc w:val="both"/>
        <w:rPr>
          <w:vanish/>
          <w:sz w:val="19"/>
          <w:szCs w:val="19"/>
        </w:rPr>
      </w:pPr>
      <w:r>
        <w:t>1</w:t>
      </w:r>
      <w:r w:rsidRPr="00DE0C53">
        <w:t xml:space="preserve">. </w:t>
      </w:r>
      <w:r w:rsidRPr="00DE0C53">
        <w:tab/>
        <w:t xml:space="preserve">The </w:t>
      </w:r>
      <w:r w:rsidRPr="005A3566">
        <w:rPr>
          <w:b/>
        </w:rPr>
        <w:t>Ghana Water Company Limited</w:t>
      </w:r>
      <w:r w:rsidRPr="00DE0C53">
        <w:rPr>
          <w:i/>
          <w:iCs/>
        </w:rPr>
        <w:t xml:space="preserve"> </w:t>
      </w:r>
      <w:r w:rsidRPr="00DE0C53">
        <w:t xml:space="preserve">intends to apply part of its budgetary allocation to fund eligible payments </w:t>
      </w:r>
      <w:r w:rsidRPr="00DE0C53">
        <w:rPr>
          <w:spacing w:val="-2"/>
        </w:rPr>
        <w:t xml:space="preserve">under Call-off Contracts that may be awarded under the </w:t>
      </w:r>
      <w:r w:rsidRPr="005A3566">
        <w:rPr>
          <w:b/>
          <w:spacing w:val="-2"/>
        </w:rPr>
        <w:t>Framework Agreements (FWA]</w:t>
      </w:r>
      <w:r w:rsidRPr="00DE0C53">
        <w:rPr>
          <w:spacing w:val="-2"/>
        </w:rPr>
        <w:t xml:space="preserve"> concluded through this IFT Primary Procurement process.</w:t>
      </w:r>
      <w:r w:rsidRPr="00DE0C53">
        <w:rPr>
          <w:i/>
          <w:iCs/>
        </w:rPr>
        <w:t xml:space="preserve">  </w:t>
      </w:r>
    </w:p>
    <w:p w:rsidR="00415970" w:rsidRPr="00DE0C53" w:rsidRDefault="00415970" w:rsidP="00415970"/>
    <w:p w:rsidR="00415970" w:rsidRDefault="00415970" w:rsidP="00415970"/>
    <w:p w:rsidR="00415970" w:rsidRPr="005A3566" w:rsidRDefault="00415970" w:rsidP="00415970">
      <w:pPr>
        <w:ind w:left="360"/>
        <w:rPr>
          <w:b/>
        </w:rPr>
      </w:pPr>
      <w:r w:rsidRPr="00DE0C53">
        <w:t xml:space="preserve">BRIEF DESCRIPTION OF GOODS: </w:t>
      </w:r>
      <w:r w:rsidRPr="005A3566">
        <w:rPr>
          <w:b/>
        </w:rPr>
        <w:t>Supply and Delivery of Materials for GWCL Bottling Plant Operations.</w:t>
      </w:r>
    </w:p>
    <w:p w:rsidR="00415970" w:rsidRPr="00DE0C53" w:rsidRDefault="00415970" w:rsidP="00415970">
      <w:pPr>
        <w:ind w:left="360" w:hanging="360"/>
        <w:jc w:val="both"/>
        <w:rPr>
          <w:sz w:val="16"/>
        </w:rPr>
      </w:pPr>
    </w:p>
    <w:p w:rsidR="00415970" w:rsidRPr="00DE0C53" w:rsidRDefault="00415970" w:rsidP="00415970">
      <w:pPr>
        <w:ind w:left="360" w:hanging="360"/>
        <w:jc w:val="both"/>
        <w:rPr>
          <w:iCs/>
          <w:spacing w:val="-2"/>
        </w:rPr>
      </w:pPr>
      <w:r w:rsidRPr="00DE0C53">
        <w:rPr>
          <w:spacing w:val="-2"/>
        </w:rPr>
        <w:t>2.</w:t>
      </w:r>
      <w:r w:rsidRPr="00DE0C53">
        <w:rPr>
          <w:spacing w:val="-2"/>
        </w:rPr>
        <w:tab/>
        <w:t>Th</w:t>
      </w:r>
      <w:r>
        <w:rPr>
          <w:spacing w:val="-2"/>
        </w:rPr>
        <w:t xml:space="preserve">e </w:t>
      </w:r>
      <w:r w:rsidRPr="005A3566">
        <w:rPr>
          <w:b/>
          <w:spacing w:val="-2"/>
        </w:rPr>
        <w:t>GWCL</w:t>
      </w:r>
      <w:r>
        <w:rPr>
          <w:spacing w:val="-2"/>
        </w:rPr>
        <w:t xml:space="preserve"> </w:t>
      </w:r>
      <w:r w:rsidRPr="00DE0C53">
        <w:rPr>
          <w:spacing w:val="-2"/>
        </w:rPr>
        <w:t xml:space="preserve">is undertaking the Primary Procurement with a view to concluding </w:t>
      </w:r>
      <w:r w:rsidRPr="005A3566">
        <w:rPr>
          <w:spacing w:val="-2"/>
        </w:rPr>
        <w:t>a Framework Agreement</w:t>
      </w:r>
      <w:r>
        <w:rPr>
          <w:spacing w:val="-2"/>
        </w:rPr>
        <w:t>.</w:t>
      </w:r>
      <w:r w:rsidRPr="00DE0C53">
        <w:rPr>
          <w:spacing w:val="-2"/>
        </w:rPr>
        <w:t xml:space="preserve"> The </w:t>
      </w:r>
      <w:r>
        <w:rPr>
          <w:spacing w:val="-2"/>
        </w:rPr>
        <w:t>Ghana Water Company Limited</w:t>
      </w:r>
      <w:r w:rsidRPr="00DE0C53">
        <w:rPr>
          <w:spacing w:val="-2"/>
        </w:rPr>
        <w:t xml:space="preserve"> </w:t>
      </w:r>
      <w:r w:rsidRPr="005A3566">
        <w:rPr>
          <w:spacing w:val="-2"/>
        </w:rPr>
        <w:t>is the sole Entity under the Framework Agreement</w:t>
      </w:r>
      <w:r w:rsidRPr="005A3566">
        <w:t>.</w:t>
      </w:r>
      <w:r>
        <w:rPr>
          <w:spacing w:val="-2"/>
        </w:rPr>
        <w:t xml:space="preserve"> </w:t>
      </w:r>
      <w:r w:rsidRPr="00DE0C53">
        <w:rPr>
          <w:spacing w:val="-2"/>
        </w:rPr>
        <w:t>The Procurement Entit</w:t>
      </w:r>
      <w:r>
        <w:rPr>
          <w:spacing w:val="-2"/>
        </w:rPr>
        <w:t xml:space="preserve">y </w:t>
      </w:r>
      <w:r w:rsidRPr="00DE0C53">
        <w:rPr>
          <w:spacing w:val="-2"/>
        </w:rPr>
        <w:t xml:space="preserve">now invites sealed Tenders from eligible Tenderers for </w:t>
      </w:r>
      <w:r>
        <w:rPr>
          <w:spacing w:val="-2"/>
        </w:rPr>
        <w:t>materials detailed in the schedule below</w:t>
      </w:r>
      <w:r>
        <w:rPr>
          <w:i/>
          <w:spacing w:val="-2"/>
        </w:rPr>
        <w:t>.</w:t>
      </w:r>
    </w:p>
    <w:p w:rsidR="00415970" w:rsidRDefault="00415970" w:rsidP="00415970">
      <w:pPr>
        <w:ind w:left="360" w:hanging="360"/>
        <w:jc w:val="both"/>
        <w:rPr>
          <w:iCs/>
          <w:spacing w:val="-2"/>
        </w:rPr>
      </w:pPr>
    </w:p>
    <w:tbl>
      <w:tblPr>
        <w:tblStyle w:val="TableGrid"/>
        <w:tblW w:w="8640" w:type="dxa"/>
        <w:tblInd w:w="355" w:type="dxa"/>
        <w:tblLayout w:type="fixed"/>
        <w:tblLook w:val="04A0" w:firstRow="1" w:lastRow="0" w:firstColumn="1" w:lastColumn="0" w:noHBand="0" w:noVBand="1"/>
      </w:tblPr>
      <w:tblGrid>
        <w:gridCol w:w="1080"/>
        <w:gridCol w:w="2070"/>
        <w:gridCol w:w="2070"/>
        <w:gridCol w:w="1890"/>
        <w:gridCol w:w="1530"/>
      </w:tblGrid>
      <w:tr w:rsidR="00415970" w:rsidTr="00E72761">
        <w:tc>
          <w:tcPr>
            <w:tcW w:w="1080" w:type="dxa"/>
          </w:tcPr>
          <w:p w:rsidR="00415970" w:rsidRPr="006D1DB6" w:rsidRDefault="00415970" w:rsidP="00E72761">
            <w:pPr>
              <w:jc w:val="both"/>
              <w:rPr>
                <w:b/>
                <w:iCs/>
                <w:spacing w:val="-2"/>
              </w:rPr>
            </w:pPr>
            <w:r>
              <w:rPr>
                <w:b/>
                <w:iCs/>
                <w:spacing w:val="-2"/>
              </w:rPr>
              <w:t>LOT NO.</w:t>
            </w:r>
          </w:p>
        </w:tc>
        <w:tc>
          <w:tcPr>
            <w:tcW w:w="2070" w:type="dxa"/>
          </w:tcPr>
          <w:p w:rsidR="00415970" w:rsidRPr="006D1DB6" w:rsidRDefault="00415970" w:rsidP="00E72761">
            <w:pPr>
              <w:jc w:val="both"/>
              <w:rPr>
                <w:b/>
                <w:iCs/>
                <w:spacing w:val="-2"/>
              </w:rPr>
            </w:pPr>
            <w:r w:rsidRPr="006D1DB6">
              <w:rPr>
                <w:b/>
                <w:iCs/>
                <w:spacing w:val="-2"/>
              </w:rPr>
              <w:t>DESCRIPTION</w:t>
            </w:r>
          </w:p>
        </w:tc>
        <w:tc>
          <w:tcPr>
            <w:tcW w:w="2070" w:type="dxa"/>
          </w:tcPr>
          <w:p w:rsidR="00415970" w:rsidRDefault="00415970" w:rsidP="00E72761">
            <w:pPr>
              <w:jc w:val="both"/>
              <w:rPr>
                <w:b/>
                <w:iCs/>
                <w:spacing w:val="-2"/>
              </w:rPr>
            </w:pPr>
            <w:r w:rsidRPr="006D1DB6">
              <w:rPr>
                <w:b/>
                <w:iCs/>
                <w:spacing w:val="-2"/>
              </w:rPr>
              <w:t>MAXIMUM</w:t>
            </w:r>
          </w:p>
          <w:p w:rsidR="00415970" w:rsidRPr="006D1DB6" w:rsidRDefault="00415970" w:rsidP="00E72761">
            <w:pPr>
              <w:jc w:val="both"/>
              <w:rPr>
                <w:b/>
                <w:iCs/>
                <w:spacing w:val="-2"/>
              </w:rPr>
            </w:pPr>
            <w:r w:rsidRPr="006D1DB6">
              <w:rPr>
                <w:b/>
                <w:iCs/>
                <w:spacing w:val="-2"/>
              </w:rPr>
              <w:t xml:space="preserve">ANNUAL </w:t>
            </w:r>
            <w:r>
              <w:rPr>
                <w:b/>
                <w:iCs/>
                <w:spacing w:val="-2"/>
              </w:rPr>
              <w:t>Q’</w:t>
            </w:r>
            <w:r w:rsidRPr="006D1DB6">
              <w:rPr>
                <w:b/>
                <w:iCs/>
                <w:spacing w:val="-2"/>
              </w:rPr>
              <w:t>TY</w:t>
            </w:r>
          </w:p>
        </w:tc>
        <w:tc>
          <w:tcPr>
            <w:tcW w:w="1890" w:type="dxa"/>
          </w:tcPr>
          <w:p w:rsidR="00415970" w:rsidRPr="006D1DB6" w:rsidRDefault="00415970" w:rsidP="00E72761">
            <w:pPr>
              <w:jc w:val="both"/>
              <w:rPr>
                <w:b/>
                <w:iCs/>
                <w:spacing w:val="-2"/>
              </w:rPr>
            </w:pPr>
            <w:r w:rsidRPr="006D1DB6">
              <w:rPr>
                <w:b/>
                <w:iCs/>
                <w:spacing w:val="-2"/>
              </w:rPr>
              <w:t>QUARTERLY QUANTITY</w:t>
            </w:r>
          </w:p>
        </w:tc>
        <w:tc>
          <w:tcPr>
            <w:tcW w:w="1530" w:type="dxa"/>
          </w:tcPr>
          <w:p w:rsidR="00415970" w:rsidRPr="006D1DB6" w:rsidRDefault="00415970" w:rsidP="00E72761">
            <w:pPr>
              <w:jc w:val="both"/>
              <w:rPr>
                <w:b/>
                <w:iCs/>
                <w:spacing w:val="-2"/>
              </w:rPr>
            </w:pPr>
            <w:r>
              <w:rPr>
                <w:b/>
                <w:iCs/>
                <w:spacing w:val="-2"/>
              </w:rPr>
              <w:t>LOCATION</w:t>
            </w:r>
          </w:p>
        </w:tc>
      </w:tr>
      <w:tr w:rsidR="00415970" w:rsidTr="00E72761">
        <w:tc>
          <w:tcPr>
            <w:tcW w:w="1080" w:type="dxa"/>
          </w:tcPr>
          <w:p w:rsidR="00415970" w:rsidRDefault="00415970" w:rsidP="00E72761">
            <w:pPr>
              <w:jc w:val="both"/>
              <w:rPr>
                <w:iCs/>
                <w:spacing w:val="-2"/>
              </w:rPr>
            </w:pPr>
            <w:r>
              <w:rPr>
                <w:iCs/>
                <w:spacing w:val="-2"/>
              </w:rPr>
              <w:t>1(</w:t>
            </w:r>
            <w:proofErr w:type="spellStart"/>
            <w:r>
              <w:rPr>
                <w:iCs/>
                <w:spacing w:val="-2"/>
              </w:rPr>
              <w:t>i</w:t>
            </w:r>
            <w:proofErr w:type="spellEnd"/>
            <w:r>
              <w:rPr>
                <w:iCs/>
                <w:spacing w:val="-2"/>
              </w:rPr>
              <w:t>)</w:t>
            </w:r>
          </w:p>
        </w:tc>
        <w:tc>
          <w:tcPr>
            <w:tcW w:w="2070" w:type="dxa"/>
          </w:tcPr>
          <w:p w:rsidR="00415970" w:rsidRDefault="00415970" w:rsidP="00E72761">
            <w:pPr>
              <w:jc w:val="both"/>
              <w:rPr>
                <w:iCs/>
                <w:spacing w:val="-2"/>
              </w:rPr>
            </w:pPr>
            <w:r>
              <w:rPr>
                <w:iCs/>
                <w:spacing w:val="-2"/>
              </w:rPr>
              <w:t>20gm Preforms</w:t>
            </w:r>
          </w:p>
        </w:tc>
        <w:tc>
          <w:tcPr>
            <w:tcW w:w="2070" w:type="dxa"/>
          </w:tcPr>
          <w:p w:rsidR="00415970" w:rsidRDefault="00415970" w:rsidP="00E72761">
            <w:pPr>
              <w:jc w:val="both"/>
              <w:rPr>
                <w:iCs/>
                <w:spacing w:val="-2"/>
              </w:rPr>
            </w:pPr>
            <w:r>
              <w:rPr>
                <w:iCs/>
                <w:spacing w:val="-2"/>
              </w:rPr>
              <w:t>9,000,000 Pcs</w:t>
            </w:r>
          </w:p>
        </w:tc>
        <w:tc>
          <w:tcPr>
            <w:tcW w:w="1890" w:type="dxa"/>
          </w:tcPr>
          <w:p w:rsidR="00415970" w:rsidRDefault="00415970" w:rsidP="00E72761">
            <w:pPr>
              <w:jc w:val="both"/>
              <w:rPr>
                <w:iCs/>
                <w:spacing w:val="-2"/>
              </w:rPr>
            </w:pPr>
            <w:r>
              <w:rPr>
                <w:iCs/>
                <w:spacing w:val="-2"/>
              </w:rPr>
              <w:t>2,250,000 Pcs</w:t>
            </w:r>
          </w:p>
        </w:tc>
        <w:tc>
          <w:tcPr>
            <w:tcW w:w="1530" w:type="dxa"/>
            <w:vMerge w:val="restart"/>
          </w:tcPr>
          <w:p w:rsidR="00415970" w:rsidRDefault="00415970" w:rsidP="00E72761">
            <w:pPr>
              <w:jc w:val="both"/>
              <w:rPr>
                <w:iCs/>
                <w:spacing w:val="-2"/>
              </w:rPr>
            </w:pPr>
            <w:r>
              <w:rPr>
                <w:iCs/>
                <w:spacing w:val="-2"/>
              </w:rPr>
              <w:t xml:space="preserve">GWCL Bottling Plant, </w:t>
            </w:r>
            <w:proofErr w:type="spellStart"/>
            <w:r>
              <w:rPr>
                <w:iCs/>
                <w:spacing w:val="-2"/>
              </w:rPr>
              <w:t>Kpong</w:t>
            </w:r>
            <w:proofErr w:type="spellEnd"/>
          </w:p>
        </w:tc>
      </w:tr>
      <w:tr w:rsidR="00415970" w:rsidTr="00E72761">
        <w:tc>
          <w:tcPr>
            <w:tcW w:w="1080" w:type="dxa"/>
          </w:tcPr>
          <w:p w:rsidR="00415970" w:rsidRDefault="00415970" w:rsidP="00E72761">
            <w:pPr>
              <w:jc w:val="both"/>
              <w:rPr>
                <w:iCs/>
                <w:spacing w:val="-2"/>
              </w:rPr>
            </w:pPr>
            <w:r>
              <w:rPr>
                <w:iCs/>
                <w:spacing w:val="-2"/>
              </w:rPr>
              <w:t>1(ii)</w:t>
            </w:r>
          </w:p>
        </w:tc>
        <w:tc>
          <w:tcPr>
            <w:tcW w:w="2070" w:type="dxa"/>
          </w:tcPr>
          <w:p w:rsidR="00415970" w:rsidRDefault="00415970" w:rsidP="00E72761">
            <w:pPr>
              <w:jc w:val="both"/>
              <w:rPr>
                <w:iCs/>
                <w:spacing w:val="-2"/>
              </w:rPr>
            </w:pPr>
            <w:r>
              <w:rPr>
                <w:iCs/>
                <w:spacing w:val="-2"/>
              </w:rPr>
              <w:t>Caps</w:t>
            </w:r>
          </w:p>
        </w:tc>
        <w:tc>
          <w:tcPr>
            <w:tcW w:w="2070" w:type="dxa"/>
          </w:tcPr>
          <w:p w:rsidR="00415970" w:rsidRDefault="00415970" w:rsidP="00E72761">
            <w:pPr>
              <w:jc w:val="both"/>
              <w:rPr>
                <w:iCs/>
                <w:spacing w:val="-2"/>
              </w:rPr>
            </w:pPr>
            <w:r>
              <w:rPr>
                <w:iCs/>
                <w:spacing w:val="-2"/>
              </w:rPr>
              <w:t>9,000,000 Pcs</w:t>
            </w:r>
          </w:p>
        </w:tc>
        <w:tc>
          <w:tcPr>
            <w:tcW w:w="1890" w:type="dxa"/>
          </w:tcPr>
          <w:p w:rsidR="00415970" w:rsidRDefault="00415970" w:rsidP="00E72761">
            <w:pPr>
              <w:jc w:val="both"/>
              <w:rPr>
                <w:iCs/>
                <w:spacing w:val="-2"/>
              </w:rPr>
            </w:pPr>
            <w:r>
              <w:rPr>
                <w:iCs/>
                <w:spacing w:val="-2"/>
              </w:rPr>
              <w:t>2,250,000 Pcs</w:t>
            </w:r>
          </w:p>
        </w:tc>
        <w:tc>
          <w:tcPr>
            <w:tcW w:w="1530" w:type="dxa"/>
            <w:vMerge/>
          </w:tcPr>
          <w:p w:rsidR="00415970" w:rsidRDefault="00415970" w:rsidP="00E72761">
            <w:pPr>
              <w:jc w:val="both"/>
              <w:rPr>
                <w:iCs/>
                <w:spacing w:val="-2"/>
              </w:rPr>
            </w:pPr>
          </w:p>
        </w:tc>
      </w:tr>
      <w:tr w:rsidR="00415970" w:rsidTr="00E72761">
        <w:tc>
          <w:tcPr>
            <w:tcW w:w="7110" w:type="dxa"/>
            <w:gridSpan w:val="4"/>
          </w:tcPr>
          <w:p w:rsidR="00415970" w:rsidRDefault="00415970" w:rsidP="00E72761">
            <w:pPr>
              <w:jc w:val="both"/>
              <w:rPr>
                <w:iCs/>
                <w:spacing w:val="-2"/>
              </w:rPr>
            </w:pPr>
          </w:p>
        </w:tc>
        <w:tc>
          <w:tcPr>
            <w:tcW w:w="1530" w:type="dxa"/>
            <w:vMerge/>
          </w:tcPr>
          <w:p w:rsidR="00415970" w:rsidRDefault="00415970" w:rsidP="00E72761">
            <w:pPr>
              <w:jc w:val="both"/>
              <w:rPr>
                <w:iCs/>
                <w:spacing w:val="-2"/>
              </w:rPr>
            </w:pPr>
          </w:p>
        </w:tc>
      </w:tr>
      <w:tr w:rsidR="00415970" w:rsidTr="00E72761">
        <w:tc>
          <w:tcPr>
            <w:tcW w:w="1080" w:type="dxa"/>
          </w:tcPr>
          <w:p w:rsidR="00415970" w:rsidRDefault="00415970" w:rsidP="00E72761">
            <w:pPr>
              <w:jc w:val="both"/>
              <w:rPr>
                <w:iCs/>
                <w:spacing w:val="-2"/>
              </w:rPr>
            </w:pPr>
            <w:r>
              <w:rPr>
                <w:iCs/>
                <w:spacing w:val="-2"/>
              </w:rPr>
              <w:t>2(</w:t>
            </w:r>
            <w:proofErr w:type="spellStart"/>
            <w:r>
              <w:rPr>
                <w:iCs/>
                <w:spacing w:val="-2"/>
              </w:rPr>
              <w:t>i</w:t>
            </w:r>
            <w:proofErr w:type="spellEnd"/>
            <w:r>
              <w:rPr>
                <w:iCs/>
                <w:spacing w:val="-2"/>
              </w:rPr>
              <w:t>)</w:t>
            </w:r>
          </w:p>
        </w:tc>
        <w:tc>
          <w:tcPr>
            <w:tcW w:w="2070" w:type="dxa"/>
          </w:tcPr>
          <w:p w:rsidR="00415970" w:rsidRDefault="00415970" w:rsidP="00E72761">
            <w:pPr>
              <w:jc w:val="both"/>
              <w:rPr>
                <w:iCs/>
                <w:spacing w:val="-2"/>
              </w:rPr>
            </w:pPr>
            <w:r>
              <w:rPr>
                <w:iCs/>
                <w:spacing w:val="-2"/>
              </w:rPr>
              <w:t>Cartons</w:t>
            </w:r>
          </w:p>
        </w:tc>
        <w:tc>
          <w:tcPr>
            <w:tcW w:w="2070" w:type="dxa"/>
          </w:tcPr>
          <w:p w:rsidR="00415970" w:rsidRDefault="00415970" w:rsidP="00E72761">
            <w:pPr>
              <w:jc w:val="both"/>
              <w:rPr>
                <w:iCs/>
                <w:spacing w:val="-2"/>
              </w:rPr>
            </w:pPr>
            <w:r>
              <w:rPr>
                <w:iCs/>
                <w:spacing w:val="-2"/>
              </w:rPr>
              <w:t>40,000 Pcs</w:t>
            </w:r>
          </w:p>
        </w:tc>
        <w:tc>
          <w:tcPr>
            <w:tcW w:w="1890" w:type="dxa"/>
          </w:tcPr>
          <w:p w:rsidR="00415970" w:rsidRDefault="00415970" w:rsidP="00E72761">
            <w:pPr>
              <w:jc w:val="both"/>
              <w:rPr>
                <w:iCs/>
                <w:spacing w:val="-2"/>
              </w:rPr>
            </w:pPr>
            <w:r>
              <w:rPr>
                <w:iCs/>
                <w:spacing w:val="-2"/>
              </w:rPr>
              <w:t>10,000 Pcs</w:t>
            </w:r>
          </w:p>
        </w:tc>
        <w:tc>
          <w:tcPr>
            <w:tcW w:w="1530" w:type="dxa"/>
            <w:vMerge/>
          </w:tcPr>
          <w:p w:rsidR="00415970" w:rsidRDefault="00415970" w:rsidP="00E72761">
            <w:pPr>
              <w:jc w:val="both"/>
              <w:rPr>
                <w:iCs/>
                <w:spacing w:val="-2"/>
              </w:rPr>
            </w:pPr>
          </w:p>
        </w:tc>
      </w:tr>
      <w:tr w:rsidR="00415970" w:rsidTr="00E72761">
        <w:tc>
          <w:tcPr>
            <w:tcW w:w="1080" w:type="dxa"/>
          </w:tcPr>
          <w:p w:rsidR="00415970" w:rsidRDefault="00415970" w:rsidP="00E72761">
            <w:pPr>
              <w:jc w:val="both"/>
              <w:rPr>
                <w:iCs/>
                <w:spacing w:val="-2"/>
              </w:rPr>
            </w:pPr>
            <w:r>
              <w:rPr>
                <w:iCs/>
                <w:spacing w:val="-2"/>
              </w:rPr>
              <w:t>2(ii)</w:t>
            </w:r>
          </w:p>
        </w:tc>
        <w:tc>
          <w:tcPr>
            <w:tcW w:w="2070" w:type="dxa"/>
          </w:tcPr>
          <w:p w:rsidR="00415970" w:rsidRDefault="00415970" w:rsidP="00E72761">
            <w:pPr>
              <w:jc w:val="both"/>
              <w:rPr>
                <w:iCs/>
                <w:spacing w:val="-2"/>
              </w:rPr>
            </w:pPr>
            <w:r>
              <w:rPr>
                <w:iCs/>
                <w:spacing w:val="-2"/>
              </w:rPr>
              <w:t>Labels</w:t>
            </w:r>
          </w:p>
        </w:tc>
        <w:tc>
          <w:tcPr>
            <w:tcW w:w="2070" w:type="dxa"/>
          </w:tcPr>
          <w:p w:rsidR="00415970" w:rsidRDefault="00415970" w:rsidP="00E72761">
            <w:pPr>
              <w:jc w:val="both"/>
              <w:rPr>
                <w:iCs/>
                <w:spacing w:val="-2"/>
              </w:rPr>
            </w:pPr>
            <w:r>
              <w:rPr>
                <w:iCs/>
                <w:spacing w:val="-2"/>
              </w:rPr>
              <w:t>3,000 Rolls</w:t>
            </w:r>
          </w:p>
        </w:tc>
        <w:tc>
          <w:tcPr>
            <w:tcW w:w="1890" w:type="dxa"/>
          </w:tcPr>
          <w:p w:rsidR="00415970" w:rsidRDefault="00415970" w:rsidP="00E72761">
            <w:pPr>
              <w:jc w:val="both"/>
              <w:rPr>
                <w:iCs/>
                <w:spacing w:val="-2"/>
              </w:rPr>
            </w:pPr>
            <w:r>
              <w:rPr>
                <w:iCs/>
                <w:spacing w:val="-2"/>
              </w:rPr>
              <w:t>750 Rolls</w:t>
            </w:r>
          </w:p>
        </w:tc>
        <w:tc>
          <w:tcPr>
            <w:tcW w:w="1530" w:type="dxa"/>
            <w:vMerge/>
          </w:tcPr>
          <w:p w:rsidR="00415970" w:rsidRDefault="00415970" w:rsidP="00E72761">
            <w:pPr>
              <w:jc w:val="both"/>
              <w:rPr>
                <w:iCs/>
                <w:spacing w:val="-2"/>
              </w:rPr>
            </w:pPr>
          </w:p>
        </w:tc>
      </w:tr>
      <w:tr w:rsidR="00415970" w:rsidTr="00E72761">
        <w:tc>
          <w:tcPr>
            <w:tcW w:w="1080" w:type="dxa"/>
          </w:tcPr>
          <w:p w:rsidR="00415970" w:rsidRDefault="00415970" w:rsidP="00E72761">
            <w:pPr>
              <w:jc w:val="both"/>
              <w:rPr>
                <w:iCs/>
                <w:spacing w:val="-2"/>
              </w:rPr>
            </w:pPr>
            <w:r>
              <w:rPr>
                <w:iCs/>
                <w:spacing w:val="-2"/>
              </w:rPr>
              <w:t>2(iii)</w:t>
            </w:r>
          </w:p>
        </w:tc>
        <w:tc>
          <w:tcPr>
            <w:tcW w:w="2070" w:type="dxa"/>
          </w:tcPr>
          <w:p w:rsidR="00415970" w:rsidRDefault="00415970" w:rsidP="00E72761">
            <w:pPr>
              <w:jc w:val="both"/>
              <w:rPr>
                <w:iCs/>
                <w:spacing w:val="-2"/>
              </w:rPr>
            </w:pPr>
            <w:r>
              <w:rPr>
                <w:iCs/>
                <w:spacing w:val="-2"/>
              </w:rPr>
              <w:t>Safety seal</w:t>
            </w:r>
          </w:p>
        </w:tc>
        <w:tc>
          <w:tcPr>
            <w:tcW w:w="2070" w:type="dxa"/>
          </w:tcPr>
          <w:p w:rsidR="00415970" w:rsidRDefault="00415970" w:rsidP="00E72761">
            <w:pPr>
              <w:jc w:val="both"/>
              <w:rPr>
                <w:iCs/>
                <w:spacing w:val="-2"/>
              </w:rPr>
            </w:pPr>
            <w:r>
              <w:rPr>
                <w:iCs/>
                <w:spacing w:val="-2"/>
              </w:rPr>
              <w:t>2,500 Kg</w:t>
            </w:r>
          </w:p>
        </w:tc>
        <w:tc>
          <w:tcPr>
            <w:tcW w:w="1890" w:type="dxa"/>
          </w:tcPr>
          <w:p w:rsidR="00415970" w:rsidRDefault="00415970" w:rsidP="00E72761">
            <w:pPr>
              <w:jc w:val="both"/>
              <w:rPr>
                <w:iCs/>
                <w:spacing w:val="-2"/>
              </w:rPr>
            </w:pPr>
            <w:r>
              <w:rPr>
                <w:iCs/>
                <w:spacing w:val="-2"/>
              </w:rPr>
              <w:t>625 Kg</w:t>
            </w:r>
          </w:p>
        </w:tc>
        <w:tc>
          <w:tcPr>
            <w:tcW w:w="1530" w:type="dxa"/>
            <w:vMerge/>
          </w:tcPr>
          <w:p w:rsidR="00415970" w:rsidRDefault="00415970" w:rsidP="00E72761">
            <w:pPr>
              <w:jc w:val="both"/>
              <w:rPr>
                <w:iCs/>
                <w:spacing w:val="-2"/>
              </w:rPr>
            </w:pPr>
          </w:p>
        </w:tc>
      </w:tr>
      <w:tr w:rsidR="00415970" w:rsidTr="00E72761">
        <w:tc>
          <w:tcPr>
            <w:tcW w:w="7110" w:type="dxa"/>
            <w:gridSpan w:val="4"/>
          </w:tcPr>
          <w:p w:rsidR="00415970" w:rsidRDefault="00415970" w:rsidP="00E72761">
            <w:pPr>
              <w:jc w:val="both"/>
              <w:rPr>
                <w:iCs/>
                <w:spacing w:val="-2"/>
              </w:rPr>
            </w:pPr>
          </w:p>
        </w:tc>
        <w:tc>
          <w:tcPr>
            <w:tcW w:w="1530" w:type="dxa"/>
            <w:vMerge/>
          </w:tcPr>
          <w:p w:rsidR="00415970" w:rsidRDefault="00415970" w:rsidP="00E72761">
            <w:pPr>
              <w:jc w:val="both"/>
              <w:rPr>
                <w:iCs/>
                <w:spacing w:val="-2"/>
              </w:rPr>
            </w:pPr>
          </w:p>
        </w:tc>
      </w:tr>
      <w:tr w:rsidR="00415970" w:rsidTr="00E72761">
        <w:tc>
          <w:tcPr>
            <w:tcW w:w="1080" w:type="dxa"/>
          </w:tcPr>
          <w:p w:rsidR="00415970" w:rsidRDefault="00415970" w:rsidP="00E72761">
            <w:pPr>
              <w:jc w:val="both"/>
              <w:rPr>
                <w:iCs/>
                <w:spacing w:val="-2"/>
              </w:rPr>
            </w:pPr>
            <w:r>
              <w:rPr>
                <w:iCs/>
                <w:spacing w:val="-2"/>
              </w:rPr>
              <w:t>3(</w:t>
            </w:r>
            <w:proofErr w:type="spellStart"/>
            <w:r>
              <w:rPr>
                <w:iCs/>
                <w:spacing w:val="-2"/>
              </w:rPr>
              <w:t>i</w:t>
            </w:r>
            <w:proofErr w:type="spellEnd"/>
            <w:r>
              <w:rPr>
                <w:iCs/>
                <w:spacing w:val="-2"/>
              </w:rPr>
              <w:t>)</w:t>
            </w:r>
          </w:p>
        </w:tc>
        <w:tc>
          <w:tcPr>
            <w:tcW w:w="2070" w:type="dxa"/>
          </w:tcPr>
          <w:p w:rsidR="00415970" w:rsidRDefault="00415970" w:rsidP="00E72761">
            <w:pPr>
              <w:jc w:val="both"/>
              <w:rPr>
                <w:iCs/>
                <w:spacing w:val="-2"/>
              </w:rPr>
            </w:pPr>
            <w:r>
              <w:rPr>
                <w:iCs/>
                <w:spacing w:val="-2"/>
              </w:rPr>
              <w:t>Dispenser Bottles</w:t>
            </w:r>
          </w:p>
        </w:tc>
        <w:tc>
          <w:tcPr>
            <w:tcW w:w="2070" w:type="dxa"/>
          </w:tcPr>
          <w:p w:rsidR="00415970" w:rsidRDefault="00415970" w:rsidP="00E72761">
            <w:pPr>
              <w:jc w:val="both"/>
              <w:rPr>
                <w:iCs/>
                <w:spacing w:val="-2"/>
              </w:rPr>
            </w:pPr>
            <w:r>
              <w:rPr>
                <w:iCs/>
                <w:spacing w:val="-2"/>
              </w:rPr>
              <w:t>36,000 Pcs</w:t>
            </w:r>
          </w:p>
        </w:tc>
        <w:tc>
          <w:tcPr>
            <w:tcW w:w="1890" w:type="dxa"/>
          </w:tcPr>
          <w:p w:rsidR="00415970" w:rsidRDefault="00415970" w:rsidP="00E72761">
            <w:pPr>
              <w:jc w:val="both"/>
              <w:rPr>
                <w:iCs/>
                <w:spacing w:val="-2"/>
              </w:rPr>
            </w:pPr>
            <w:r>
              <w:rPr>
                <w:iCs/>
                <w:spacing w:val="-2"/>
              </w:rPr>
              <w:t>9,000 Pcs</w:t>
            </w:r>
          </w:p>
        </w:tc>
        <w:tc>
          <w:tcPr>
            <w:tcW w:w="1530" w:type="dxa"/>
            <w:vMerge/>
          </w:tcPr>
          <w:p w:rsidR="00415970" w:rsidRDefault="00415970" w:rsidP="00E72761">
            <w:pPr>
              <w:jc w:val="both"/>
              <w:rPr>
                <w:iCs/>
                <w:spacing w:val="-2"/>
              </w:rPr>
            </w:pPr>
          </w:p>
        </w:tc>
      </w:tr>
      <w:tr w:rsidR="00415970" w:rsidTr="00E72761">
        <w:tc>
          <w:tcPr>
            <w:tcW w:w="1080" w:type="dxa"/>
          </w:tcPr>
          <w:p w:rsidR="00415970" w:rsidRDefault="00415970" w:rsidP="00E72761">
            <w:pPr>
              <w:jc w:val="both"/>
              <w:rPr>
                <w:iCs/>
                <w:spacing w:val="-2"/>
              </w:rPr>
            </w:pPr>
            <w:r>
              <w:rPr>
                <w:iCs/>
                <w:spacing w:val="-2"/>
              </w:rPr>
              <w:t>3(ii)</w:t>
            </w:r>
          </w:p>
        </w:tc>
        <w:tc>
          <w:tcPr>
            <w:tcW w:w="2070" w:type="dxa"/>
          </w:tcPr>
          <w:p w:rsidR="00415970" w:rsidRDefault="00415970" w:rsidP="00E72761">
            <w:pPr>
              <w:jc w:val="both"/>
              <w:rPr>
                <w:iCs/>
                <w:spacing w:val="-2"/>
              </w:rPr>
            </w:pPr>
            <w:r>
              <w:rPr>
                <w:iCs/>
                <w:spacing w:val="-2"/>
              </w:rPr>
              <w:t>Jar Caps</w:t>
            </w:r>
          </w:p>
        </w:tc>
        <w:tc>
          <w:tcPr>
            <w:tcW w:w="2070" w:type="dxa"/>
          </w:tcPr>
          <w:p w:rsidR="00415970" w:rsidRDefault="00415970" w:rsidP="00E72761">
            <w:pPr>
              <w:jc w:val="both"/>
              <w:rPr>
                <w:iCs/>
                <w:spacing w:val="-2"/>
              </w:rPr>
            </w:pPr>
            <w:r>
              <w:rPr>
                <w:iCs/>
                <w:spacing w:val="-2"/>
              </w:rPr>
              <w:t>36,000 Pcs</w:t>
            </w:r>
          </w:p>
        </w:tc>
        <w:tc>
          <w:tcPr>
            <w:tcW w:w="1890" w:type="dxa"/>
          </w:tcPr>
          <w:p w:rsidR="00415970" w:rsidRDefault="00415970" w:rsidP="00E72761">
            <w:pPr>
              <w:jc w:val="both"/>
              <w:rPr>
                <w:iCs/>
                <w:spacing w:val="-2"/>
              </w:rPr>
            </w:pPr>
            <w:r>
              <w:rPr>
                <w:iCs/>
                <w:spacing w:val="-2"/>
              </w:rPr>
              <w:t>9,000 Pcs</w:t>
            </w:r>
          </w:p>
        </w:tc>
        <w:tc>
          <w:tcPr>
            <w:tcW w:w="1530" w:type="dxa"/>
            <w:vMerge/>
          </w:tcPr>
          <w:p w:rsidR="00415970" w:rsidRDefault="00415970" w:rsidP="00E72761">
            <w:pPr>
              <w:jc w:val="both"/>
              <w:rPr>
                <w:iCs/>
                <w:spacing w:val="-2"/>
              </w:rPr>
            </w:pPr>
          </w:p>
        </w:tc>
      </w:tr>
      <w:tr w:rsidR="00415970" w:rsidTr="00E72761">
        <w:tc>
          <w:tcPr>
            <w:tcW w:w="7110" w:type="dxa"/>
            <w:gridSpan w:val="4"/>
          </w:tcPr>
          <w:p w:rsidR="00415970" w:rsidRDefault="00415970" w:rsidP="00E72761">
            <w:pPr>
              <w:jc w:val="both"/>
              <w:rPr>
                <w:iCs/>
                <w:spacing w:val="-2"/>
              </w:rPr>
            </w:pPr>
          </w:p>
        </w:tc>
        <w:tc>
          <w:tcPr>
            <w:tcW w:w="1530" w:type="dxa"/>
            <w:vMerge/>
          </w:tcPr>
          <w:p w:rsidR="00415970" w:rsidRDefault="00415970" w:rsidP="00E72761">
            <w:pPr>
              <w:jc w:val="both"/>
              <w:rPr>
                <w:iCs/>
                <w:spacing w:val="-2"/>
              </w:rPr>
            </w:pPr>
          </w:p>
        </w:tc>
      </w:tr>
      <w:tr w:rsidR="00415970" w:rsidTr="00E72761">
        <w:tc>
          <w:tcPr>
            <w:tcW w:w="1080" w:type="dxa"/>
          </w:tcPr>
          <w:p w:rsidR="00415970" w:rsidRDefault="00415970" w:rsidP="00E72761">
            <w:pPr>
              <w:jc w:val="both"/>
              <w:rPr>
                <w:iCs/>
                <w:spacing w:val="-2"/>
              </w:rPr>
            </w:pPr>
            <w:r>
              <w:rPr>
                <w:iCs/>
                <w:spacing w:val="-2"/>
              </w:rPr>
              <w:t>4(</w:t>
            </w:r>
            <w:proofErr w:type="spellStart"/>
            <w:r>
              <w:rPr>
                <w:iCs/>
                <w:spacing w:val="-2"/>
              </w:rPr>
              <w:t>i</w:t>
            </w:r>
            <w:proofErr w:type="spellEnd"/>
            <w:r>
              <w:rPr>
                <w:iCs/>
                <w:spacing w:val="-2"/>
              </w:rPr>
              <w:t>)</w:t>
            </w:r>
          </w:p>
        </w:tc>
        <w:tc>
          <w:tcPr>
            <w:tcW w:w="2070" w:type="dxa"/>
          </w:tcPr>
          <w:p w:rsidR="00415970" w:rsidRDefault="00415970" w:rsidP="00E72761">
            <w:pPr>
              <w:jc w:val="both"/>
              <w:rPr>
                <w:iCs/>
                <w:spacing w:val="-2"/>
              </w:rPr>
            </w:pPr>
            <w:r>
              <w:rPr>
                <w:iCs/>
                <w:spacing w:val="-2"/>
              </w:rPr>
              <w:t>500ml Shrink Roll</w:t>
            </w:r>
          </w:p>
        </w:tc>
        <w:tc>
          <w:tcPr>
            <w:tcW w:w="2070" w:type="dxa"/>
          </w:tcPr>
          <w:p w:rsidR="00415970" w:rsidRDefault="00415970" w:rsidP="00E72761">
            <w:pPr>
              <w:jc w:val="both"/>
              <w:rPr>
                <w:iCs/>
                <w:spacing w:val="-2"/>
              </w:rPr>
            </w:pPr>
            <w:r>
              <w:rPr>
                <w:iCs/>
                <w:spacing w:val="-2"/>
              </w:rPr>
              <w:t>23,000 Kg</w:t>
            </w:r>
          </w:p>
        </w:tc>
        <w:tc>
          <w:tcPr>
            <w:tcW w:w="1890" w:type="dxa"/>
          </w:tcPr>
          <w:p w:rsidR="00415970" w:rsidRDefault="00415970" w:rsidP="00E72761">
            <w:pPr>
              <w:jc w:val="both"/>
              <w:rPr>
                <w:iCs/>
                <w:spacing w:val="-2"/>
              </w:rPr>
            </w:pPr>
            <w:r>
              <w:rPr>
                <w:iCs/>
                <w:spacing w:val="-2"/>
              </w:rPr>
              <w:t>5,750 Kg</w:t>
            </w:r>
          </w:p>
        </w:tc>
        <w:tc>
          <w:tcPr>
            <w:tcW w:w="1530" w:type="dxa"/>
            <w:vMerge/>
          </w:tcPr>
          <w:p w:rsidR="00415970" w:rsidRDefault="00415970" w:rsidP="00E72761">
            <w:pPr>
              <w:jc w:val="both"/>
              <w:rPr>
                <w:iCs/>
                <w:spacing w:val="-2"/>
              </w:rPr>
            </w:pPr>
          </w:p>
        </w:tc>
      </w:tr>
      <w:tr w:rsidR="00415970" w:rsidTr="00E72761">
        <w:tc>
          <w:tcPr>
            <w:tcW w:w="1080" w:type="dxa"/>
          </w:tcPr>
          <w:p w:rsidR="00415970" w:rsidRDefault="00415970" w:rsidP="00E72761">
            <w:pPr>
              <w:jc w:val="both"/>
              <w:rPr>
                <w:iCs/>
                <w:spacing w:val="-2"/>
              </w:rPr>
            </w:pPr>
            <w:r>
              <w:rPr>
                <w:iCs/>
                <w:spacing w:val="-2"/>
              </w:rPr>
              <w:t>4(ii)</w:t>
            </w:r>
          </w:p>
        </w:tc>
        <w:tc>
          <w:tcPr>
            <w:tcW w:w="2070" w:type="dxa"/>
          </w:tcPr>
          <w:p w:rsidR="00415970" w:rsidRDefault="00415970" w:rsidP="00E72761">
            <w:pPr>
              <w:jc w:val="both"/>
              <w:rPr>
                <w:iCs/>
                <w:spacing w:val="-2"/>
              </w:rPr>
            </w:pPr>
            <w:r>
              <w:rPr>
                <w:iCs/>
                <w:spacing w:val="-2"/>
              </w:rPr>
              <w:t>Sachet Roll</w:t>
            </w:r>
          </w:p>
        </w:tc>
        <w:tc>
          <w:tcPr>
            <w:tcW w:w="2070" w:type="dxa"/>
          </w:tcPr>
          <w:p w:rsidR="00415970" w:rsidRDefault="00415970" w:rsidP="00E72761">
            <w:pPr>
              <w:jc w:val="both"/>
              <w:rPr>
                <w:iCs/>
                <w:spacing w:val="-2"/>
              </w:rPr>
            </w:pPr>
            <w:r>
              <w:rPr>
                <w:iCs/>
                <w:spacing w:val="-2"/>
              </w:rPr>
              <w:t>14,000 Kg</w:t>
            </w:r>
          </w:p>
        </w:tc>
        <w:tc>
          <w:tcPr>
            <w:tcW w:w="1890" w:type="dxa"/>
          </w:tcPr>
          <w:p w:rsidR="00415970" w:rsidRDefault="00415970" w:rsidP="00E72761">
            <w:pPr>
              <w:jc w:val="both"/>
              <w:rPr>
                <w:iCs/>
                <w:spacing w:val="-2"/>
              </w:rPr>
            </w:pPr>
            <w:r>
              <w:rPr>
                <w:iCs/>
                <w:spacing w:val="-2"/>
              </w:rPr>
              <w:t>3,500 Kg</w:t>
            </w:r>
          </w:p>
        </w:tc>
        <w:tc>
          <w:tcPr>
            <w:tcW w:w="1530" w:type="dxa"/>
            <w:vMerge/>
          </w:tcPr>
          <w:p w:rsidR="00415970" w:rsidRDefault="00415970" w:rsidP="00E72761">
            <w:pPr>
              <w:jc w:val="both"/>
              <w:rPr>
                <w:iCs/>
                <w:spacing w:val="-2"/>
              </w:rPr>
            </w:pPr>
          </w:p>
        </w:tc>
      </w:tr>
      <w:tr w:rsidR="00415970" w:rsidTr="00E72761">
        <w:tc>
          <w:tcPr>
            <w:tcW w:w="1080" w:type="dxa"/>
          </w:tcPr>
          <w:p w:rsidR="00415970" w:rsidRDefault="00415970" w:rsidP="00E72761">
            <w:pPr>
              <w:jc w:val="both"/>
              <w:rPr>
                <w:iCs/>
                <w:spacing w:val="-2"/>
              </w:rPr>
            </w:pPr>
            <w:r>
              <w:rPr>
                <w:iCs/>
                <w:spacing w:val="-2"/>
              </w:rPr>
              <w:t>4(iii)</w:t>
            </w:r>
          </w:p>
        </w:tc>
        <w:tc>
          <w:tcPr>
            <w:tcW w:w="2070" w:type="dxa"/>
          </w:tcPr>
          <w:p w:rsidR="00415970" w:rsidRDefault="00415970" w:rsidP="00E72761">
            <w:pPr>
              <w:jc w:val="both"/>
              <w:rPr>
                <w:iCs/>
                <w:spacing w:val="-2"/>
              </w:rPr>
            </w:pPr>
            <w:r>
              <w:rPr>
                <w:iCs/>
                <w:spacing w:val="-2"/>
              </w:rPr>
              <w:t>Sachet Outer Bag</w:t>
            </w:r>
          </w:p>
        </w:tc>
        <w:tc>
          <w:tcPr>
            <w:tcW w:w="2070" w:type="dxa"/>
          </w:tcPr>
          <w:p w:rsidR="00415970" w:rsidRDefault="00415970" w:rsidP="00E72761">
            <w:pPr>
              <w:jc w:val="both"/>
              <w:rPr>
                <w:iCs/>
                <w:spacing w:val="-2"/>
              </w:rPr>
            </w:pPr>
            <w:r>
              <w:rPr>
                <w:iCs/>
                <w:spacing w:val="-2"/>
              </w:rPr>
              <w:t>600 Bundles</w:t>
            </w:r>
          </w:p>
        </w:tc>
        <w:tc>
          <w:tcPr>
            <w:tcW w:w="1890" w:type="dxa"/>
          </w:tcPr>
          <w:p w:rsidR="00415970" w:rsidRDefault="00415970" w:rsidP="00E72761">
            <w:pPr>
              <w:jc w:val="both"/>
              <w:rPr>
                <w:iCs/>
                <w:spacing w:val="-2"/>
              </w:rPr>
            </w:pPr>
            <w:r>
              <w:rPr>
                <w:iCs/>
                <w:spacing w:val="-2"/>
              </w:rPr>
              <w:t>150 Bundles</w:t>
            </w:r>
          </w:p>
        </w:tc>
        <w:tc>
          <w:tcPr>
            <w:tcW w:w="1530" w:type="dxa"/>
            <w:vMerge/>
          </w:tcPr>
          <w:p w:rsidR="00415970" w:rsidRDefault="00415970" w:rsidP="00E72761">
            <w:pPr>
              <w:jc w:val="both"/>
              <w:rPr>
                <w:iCs/>
                <w:spacing w:val="-2"/>
              </w:rPr>
            </w:pPr>
          </w:p>
        </w:tc>
      </w:tr>
      <w:tr w:rsidR="00415970" w:rsidTr="00E72761">
        <w:tc>
          <w:tcPr>
            <w:tcW w:w="1080" w:type="dxa"/>
          </w:tcPr>
          <w:p w:rsidR="00415970" w:rsidRDefault="00415970" w:rsidP="00E72761">
            <w:pPr>
              <w:jc w:val="both"/>
              <w:rPr>
                <w:iCs/>
                <w:spacing w:val="-2"/>
              </w:rPr>
            </w:pPr>
            <w:r>
              <w:rPr>
                <w:iCs/>
                <w:spacing w:val="-2"/>
              </w:rPr>
              <w:t>4(iv)</w:t>
            </w:r>
          </w:p>
        </w:tc>
        <w:tc>
          <w:tcPr>
            <w:tcW w:w="2070" w:type="dxa"/>
          </w:tcPr>
          <w:p w:rsidR="00415970" w:rsidRDefault="00415970" w:rsidP="00E72761">
            <w:pPr>
              <w:jc w:val="both"/>
              <w:rPr>
                <w:iCs/>
                <w:spacing w:val="-2"/>
              </w:rPr>
            </w:pPr>
            <w:r>
              <w:rPr>
                <w:iCs/>
                <w:spacing w:val="-2"/>
              </w:rPr>
              <w:t>Jar Outer Bag</w:t>
            </w:r>
          </w:p>
        </w:tc>
        <w:tc>
          <w:tcPr>
            <w:tcW w:w="2070" w:type="dxa"/>
          </w:tcPr>
          <w:p w:rsidR="00415970" w:rsidRDefault="00415970" w:rsidP="00E72761">
            <w:pPr>
              <w:jc w:val="both"/>
              <w:rPr>
                <w:iCs/>
                <w:spacing w:val="-2"/>
              </w:rPr>
            </w:pPr>
            <w:r>
              <w:rPr>
                <w:iCs/>
                <w:spacing w:val="-2"/>
              </w:rPr>
              <w:t>40 Bundles</w:t>
            </w:r>
          </w:p>
        </w:tc>
        <w:tc>
          <w:tcPr>
            <w:tcW w:w="1890" w:type="dxa"/>
          </w:tcPr>
          <w:p w:rsidR="00415970" w:rsidRDefault="00415970" w:rsidP="00E72761">
            <w:pPr>
              <w:jc w:val="both"/>
              <w:rPr>
                <w:iCs/>
                <w:spacing w:val="-2"/>
              </w:rPr>
            </w:pPr>
            <w:r>
              <w:rPr>
                <w:iCs/>
                <w:spacing w:val="-2"/>
              </w:rPr>
              <w:t>10 Bundles</w:t>
            </w:r>
          </w:p>
        </w:tc>
        <w:tc>
          <w:tcPr>
            <w:tcW w:w="1530" w:type="dxa"/>
            <w:vMerge/>
          </w:tcPr>
          <w:p w:rsidR="00415970" w:rsidRDefault="00415970" w:rsidP="00E72761">
            <w:pPr>
              <w:jc w:val="both"/>
              <w:rPr>
                <w:iCs/>
                <w:spacing w:val="-2"/>
              </w:rPr>
            </w:pPr>
          </w:p>
        </w:tc>
      </w:tr>
    </w:tbl>
    <w:p w:rsidR="00415970" w:rsidRDefault="00415970" w:rsidP="00415970">
      <w:pPr>
        <w:ind w:left="360" w:hanging="360"/>
        <w:jc w:val="both"/>
        <w:rPr>
          <w:iCs/>
          <w:spacing w:val="-2"/>
        </w:rPr>
      </w:pPr>
    </w:p>
    <w:p w:rsidR="00415970" w:rsidRDefault="00415970" w:rsidP="00415970">
      <w:pPr>
        <w:pStyle w:val="ListParagraph"/>
        <w:numPr>
          <w:ilvl w:val="0"/>
          <w:numId w:val="2"/>
        </w:numPr>
        <w:spacing w:before="240" w:after="240"/>
        <w:jc w:val="both"/>
        <w:rPr>
          <w:spacing w:val="-2"/>
        </w:rPr>
      </w:pPr>
      <w:r w:rsidRPr="00E02DA1">
        <w:rPr>
          <w:iCs/>
          <w:spacing w:val="-2"/>
        </w:rPr>
        <w:t>The Framework Agreement</w:t>
      </w:r>
      <w:r w:rsidRPr="00E02DA1">
        <w:rPr>
          <w:spacing w:val="-2"/>
        </w:rPr>
        <w:t xml:space="preserve"> to be concluded will be </w:t>
      </w:r>
      <w:r w:rsidRPr="00E02DA1">
        <w:rPr>
          <w:b/>
          <w:spacing w:val="-2"/>
        </w:rPr>
        <w:t>Single-User</w:t>
      </w:r>
      <w:r w:rsidRPr="00E02DA1">
        <w:rPr>
          <w:spacing w:val="-2"/>
        </w:rPr>
        <w:t xml:space="preserve">.  The single user entitled to procure under the </w:t>
      </w:r>
      <w:r w:rsidRPr="00E02DA1">
        <w:rPr>
          <w:iCs/>
          <w:spacing w:val="-2"/>
        </w:rPr>
        <w:t xml:space="preserve">Framework Agreement </w:t>
      </w:r>
      <w:r w:rsidRPr="00E02DA1">
        <w:rPr>
          <w:spacing w:val="-2"/>
        </w:rPr>
        <w:t>is Ghana Water Company Limited</w:t>
      </w:r>
      <w:r>
        <w:rPr>
          <w:i/>
          <w:spacing w:val="-2"/>
        </w:rPr>
        <w:t>.</w:t>
      </w:r>
      <w:r w:rsidRPr="008B5B26">
        <w:rPr>
          <w:spacing w:val="-2"/>
        </w:rPr>
        <w:t xml:space="preserve"> </w:t>
      </w:r>
    </w:p>
    <w:p w:rsidR="00415970" w:rsidRPr="00DE0C53" w:rsidRDefault="00415970" w:rsidP="00415970">
      <w:pPr>
        <w:pStyle w:val="ListParagraph"/>
        <w:spacing w:before="240" w:after="240"/>
        <w:ind w:left="360"/>
        <w:jc w:val="both"/>
        <w:rPr>
          <w:spacing w:val="-2"/>
        </w:rPr>
      </w:pPr>
    </w:p>
    <w:p w:rsidR="00415970" w:rsidRPr="00DE0C53" w:rsidRDefault="00415970" w:rsidP="00415970">
      <w:pPr>
        <w:pStyle w:val="ListParagraph"/>
        <w:numPr>
          <w:ilvl w:val="0"/>
          <w:numId w:val="2"/>
        </w:numPr>
        <w:spacing w:before="240" w:after="240"/>
        <w:jc w:val="both"/>
        <w:rPr>
          <w:vanish/>
          <w:sz w:val="19"/>
          <w:szCs w:val="19"/>
        </w:rPr>
      </w:pPr>
      <w:r w:rsidRPr="00DE0C53">
        <w:rPr>
          <w:spacing w:val="-2"/>
        </w:rPr>
        <w:t xml:space="preserve">The </w:t>
      </w:r>
      <w:r w:rsidRPr="00E02DA1">
        <w:rPr>
          <w:iCs/>
          <w:spacing w:val="-2"/>
        </w:rPr>
        <w:t xml:space="preserve">Framework Agreement </w:t>
      </w:r>
      <w:r w:rsidRPr="00DE0C53">
        <w:rPr>
          <w:iCs/>
          <w:spacing w:val="-2"/>
        </w:rPr>
        <w:t>to be concluded will be</w:t>
      </w:r>
      <w:r>
        <w:rPr>
          <w:i/>
          <w:spacing w:val="-2"/>
        </w:rPr>
        <w:t xml:space="preserve"> </w:t>
      </w:r>
      <w:r w:rsidRPr="00E02DA1">
        <w:rPr>
          <w:b/>
          <w:spacing w:val="-2"/>
        </w:rPr>
        <w:t>Multi-Supplier</w:t>
      </w:r>
      <w:r>
        <w:rPr>
          <w:spacing w:val="-2"/>
        </w:rPr>
        <w:t>.</w:t>
      </w:r>
      <w:r w:rsidRPr="00DE0C53">
        <w:rPr>
          <w:spacing w:val="-2"/>
        </w:rPr>
        <w:t xml:space="preserve"> </w:t>
      </w:r>
    </w:p>
    <w:p w:rsidR="00415970" w:rsidRPr="00DE0C53" w:rsidRDefault="00415970" w:rsidP="00415970">
      <w:pPr>
        <w:pStyle w:val="ListParagraph"/>
        <w:rPr>
          <w:vanish/>
          <w:sz w:val="19"/>
          <w:szCs w:val="19"/>
        </w:rPr>
      </w:pPr>
      <w:r>
        <w:rPr>
          <w:spacing w:val="-2"/>
        </w:rPr>
        <w:t xml:space="preserve"> </w:t>
      </w:r>
      <w:r w:rsidRPr="00DE0C53">
        <w:rPr>
          <w:spacing w:val="-2"/>
        </w:rPr>
        <w:t xml:space="preserve">The selection of an FWA Supplier to be awarded a Call-off Contract will be done through a Secondary Procurement </w:t>
      </w:r>
      <w:r w:rsidRPr="00DE0C53">
        <w:rPr>
          <w:spacing w:val="-2"/>
        </w:rPr>
        <w:lastRenderedPageBreak/>
        <w:t xml:space="preserve">process as defined in the Framework Agreement. </w:t>
      </w:r>
      <w:r>
        <w:rPr>
          <w:spacing w:val="-2"/>
        </w:rPr>
        <w:t xml:space="preserve"> </w:t>
      </w:r>
      <w:r w:rsidRPr="00DE0C53">
        <w:rPr>
          <w:spacing w:val="-2"/>
        </w:rPr>
        <w:t>However, the conclusion of a Framework Agreement shall not impose any obligation on the Procurement Entity to procure Goods under a Call-off Contract. The conclusion of a Framework Agreement does not guarantee that an FWA Supplier will be awarded a Call-off Contract.</w:t>
      </w:r>
      <w:r w:rsidRPr="00DE0C53">
        <w:t xml:space="preserve">  </w:t>
      </w:r>
    </w:p>
    <w:p w:rsidR="00415970" w:rsidRDefault="00415970" w:rsidP="00415970">
      <w:pPr>
        <w:pStyle w:val="BodyTextIndent3"/>
        <w:numPr>
          <w:ilvl w:val="0"/>
          <w:numId w:val="2"/>
        </w:numPr>
        <w:jc w:val="both"/>
      </w:pPr>
      <w:r w:rsidRPr="00DE0C53">
        <w:t>Tendering will be conducted through the National Competitive Tendering procedures specified in the Public Procurement Act, 2003 (Act 663) as amended.</w:t>
      </w:r>
    </w:p>
    <w:p w:rsidR="00415970" w:rsidRDefault="00415970" w:rsidP="00415970">
      <w:pPr>
        <w:pStyle w:val="BodyTextIndent3"/>
        <w:ind w:left="360" w:firstLine="0"/>
        <w:jc w:val="both"/>
      </w:pPr>
    </w:p>
    <w:p w:rsidR="00415970" w:rsidRPr="00E02DA1" w:rsidRDefault="00415970" w:rsidP="00415970">
      <w:pPr>
        <w:pStyle w:val="BodyTextIndent3"/>
        <w:numPr>
          <w:ilvl w:val="0"/>
          <w:numId w:val="1"/>
        </w:numPr>
        <w:jc w:val="both"/>
      </w:pPr>
      <w:r>
        <w:rPr>
          <w:spacing w:val="-2"/>
        </w:rPr>
        <w:t>T</w:t>
      </w:r>
      <w:r w:rsidRPr="00E02DA1">
        <w:rPr>
          <w:spacing w:val="-2"/>
        </w:rPr>
        <w:t xml:space="preserve">enderers may submit Tenders for one or more “lots” up to a maximum of </w:t>
      </w:r>
      <w:r>
        <w:rPr>
          <w:spacing w:val="-2"/>
        </w:rPr>
        <w:t xml:space="preserve">three </w:t>
      </w:r>
      <w:r w:rsidRPr="00E02DA1">
        <w:rPr>
          <w:spacing w:val="-2"/>
        </w:rPr>
        <w:t>(</w:t>
      </w:r>
      <w:r>
        <w:rPr>
          <w:spacing w:val="-2"/>
        </w:rPr>
        <w:t>3</w:t>
      </w:r>
      <w:r w:rsidRPr="00E02DA1">
        <w:rPr>
          <w:spacing w:val="-2"/>
        </w:rPr>
        <w:t xml:space="preserve">) lots. </w:t>
      </w:r>
    </w:p>
    <w:p w:rsidR="00415970" w:rsidRPr="00DE0C53" w:rsidRDefault="00415970" w:rsidP="00415970">
      <w:pPr>
        <w:pStyle w:val="ListParagraph"/>
        <w:numPr>
          <w:ilvl w:val="0"/>
          <w:numId w:val="1"/>
        </w:numPr>
        <w:spacing w:before="240" w:after="240"/>
        <w:ind w:left="547" w:hanging="547"/>
        <w:contextualSpacing w:val="0"/>
        <w:jc w:val="both"/>
      </w:pPr>
      <w:r w:rsidRPr="00DE0C53">
        <w:rPr>
          <w:spacing w:val="-2"/>
        </w:rPr>
        <w:t xml:space="preserve">The </w:t>
      </w:r>
      <w:r w:rsidRPr="00DE0C53">
        <w:rPr>
          <w:i/>
          <w:iCs/>
          <w:spacing w:val="-2"/>
        </w:rPr>
        <w:t>Framework Agreement(s)</w:t>
      </w:r>
      <w:r w:rsidRPr="00DE0C53">
        <w:rPr>
          <w:iCs/>
          <w:spacing w:val="-2"/>
        </w:rPr>
        <w:t xml:space="preserve"> </w:t>
      </w:r>
      <w:r w:rsidRPr="00DE0C53">
        <w:rPr>
          <w:spacing w:val="-2"/>
        </w:rPr>
        <w:t>shall be concluded for a Term of</w:t>
      </w:r>
      <w:r w:rsidRPr="00DE0C53">
        <w:rPr>
          <w:rStyle w:val="FootnoteReference"/>
          <w:spacing w:val="-2"/>
        </w:rPr>
        <w:t xml:space="preserve"> </w:t>
      </w:r>
      <w:r w:rsidRPr="00DE0C53">
        <w:t xml:space="preserve"> </w:t>
      </w:r>
      <w:r w:rsidRPr="00A66BBE">
        <w:rPr>
          <w:b/>
        </w:rPr>
        <w:t>one (1) year</w:t>
      </w:r>
      <w:r w:rsidRPr="00DE0C53">
        <w:rPr>
          <w:i/>
        </w:rPr>
        <w:t xml:space="preserve">, </w:t>
      </w:r>
      <w:r w:rsidRPr="00DE0C53">
        <w:rPr>
          <w:spacing w:val="-2"/>
        </w:rPr>
        <w:t>from the commencement date st</w:t>
      </w:r>
      <w:r>
        <w:rPr>
          <w:spacing w:val="-2"/>
        </w:rPr>
        <w:t>ated in the Framework Agreement, and shall be subject to extension for six (6) months upon mutual agreement by the parties.</w:t>
      </w:r>
      <w:r w:rsidRPr="00DE0C53">
        <w:rPr>
          <w:spacing w:val="-2"/>
        </w:rPr>
        <w:t xml:space="preserve"> </w:t>
      </w:r>
    </w:p>
    <w:p w:rsidR="00415970" w:rsidRPr="00DE0C53" w:rsidRDefault="00415970" w:rsidP="00415970">
      <w:pPr>
        <w:pStyle w:val="ListParagraph"/>
        <w:numPr>
          <w:ilvl w:val="0"/>
          <w:numId w:val="1"/>
        </w:numPr>
        <w:spacing w:before="240" w:after="240"/>
        <w:ind w:left="547" w:hanging="547"/>
        <w:contextualSpacing w:val="0"/>
        <w:jc w:val="both"/>
        <w:rPr>
          <w:spacing w:val="-2"/>
        </w:rPr>
      </w:pPr>
      <w:r w:rsidRPr="00DE0C53">
        <w:rPr>
          <w:spacing w:val="-2"/>
        </w:rPr>
        <w:t>The Primary Procurement shall establish a Closed Framework Agreement(s). This means no new firm (s) may conclude Framework Agreement during the Term of Framework Agreement</w:t>
      </w:r>
    </w:p>
    <w:p w:rsidR="00415970" w:rsidRPr="00DE0C53" w:rsidRDefault="00415970" w:rsidP="00415970">
      <w:pPr>
        <w:pStyle w:val="ListParagraph"/>
        <w:numPr>
          <w:ilvl w:val="0"/>
          <w:numId w:val="1"/>
        </w:numPr>
        <w:spacing w:before="240" w:after="240"/>
        <w:ind w:left="547" w:hanging="547"/>
        <w:contextualSpacing w:val="0"/>
        <w:jc w:val="both"/>
        <w:rPr>
          <w:i/>
          <w:spacing w:val="-2"/>
        </w:rPr>
      </w:pPr>
      <w:r w:rsidRPr="00DE0C53">
        <w:rPr>
          <w:spacing w:val="-2"/>
        </w:rPr>
        <w:t>Interested eligible Tenderers may</w:t>
      </w:r>
      <w:r>
        <w:rPr>
          <w:spacing w:val="-2"/>
        </w:rPr>
        <w:t xml:space="preserve"> obtain further information</w:t>
      </w:r>
      <w:r w:rsidRPr="00DE0C53">
        <w:rPr>
          <w:spacing w:val="-2"/>
        </w:rPr>
        <w:t xml:space="preserve"> and inspect the Tender document during office hours </w:t>
      </w:r>
      <w:r w:rsidRPr="00A66BBE">
        <w:rPr>
          <w:b/>
          <w:spacing w:val="-2"/>
        </w:rPr>
        <w:t>08:00 to 17:00</w:t>
      </w:r>
      <w:r w:rsidRPr="00A66BBE">
        <w:rPr>
          <w:spacing w:val="-2"/>
        </w:rPr>
        <w:t xml:space="preserve"> hours </w:t>
      </w:r>
      <w:r w:rsidRPr="00DE0C53">
        <w:rPr>
          <w:spacing w:val="-2"/>
        </w:rPr>
        <w:t>at the address given below The Eligibility requirements include:</w:t>
      </w:r>
    </w:p>
    <w:p w:rsidR="00415970" w:rsidRPr="00DE0C53" w:rsidRDefault="00415970" w:rsidP="00415970">
      <w:pPr>
        <w:pStyle w:val="ListParagraph"/>
        <w:numPr>
          <w:ilvl w:val="0"/>
          <w:numId w:val="3"/>
        </w:numPr>
        <w:spacing w:before="240"/>
        <w:ind w:left="1264" w:hanging="357"/>
        <w:jc w:val="both"/>
        <w:rPr>
          <w:i/>
          <w:spacing w:val="-2"/>
        </w:rPr>
      </w:pPr>
      <w:r w:rsidRPr="00DE0C53">
        <w:rPr>
          <w:i/>
          <w:spacing w:val="-2"/>
        </w:rPr>
        <w:t>Valid GRA Tax Clearance Certificate</w:t>
      </w:r>
    </w:p>
    <w:p w:rsidR="00415970" w:rsidRPr="00DE0C53" w:rsidRDefault="00415970" w:rsidP="00415970">
      <w:pPr>
        <w:pStyle w:val="ListParagraph"/>
        <w:numPr>
          <w:ilvl w:val="0"/>
          <w:numId w:val="3"/>
        </w:numPr>
        <w:spacing w:before="240"/>
        <w:ind w:left="1264" w:hanging="357"/>
        <w:jc w:val="both"/>
        <w:rPr>
          <w:i/>
          <w:spacing w:val="-2"/>
        </w:rPr>
      </w:pPr>
      <w:r w:rsidRPr="00DE0C53">
        <w:rPr>
          <w:i/>
          <w:spacing w:val="-2"/>
        </w:rPr>
        <w:t>Valid SSNIT Clearance Certificate</w:t>
      </w:r>
    </w:p>
    <w:p w:rsidR="00415970" w:rsidRPr="00DE0C53" w:rsidRDefault="00415970" w:rsidP="00415970">
      <w:pPr>
        <w:pStyle w:val="ListParagraph"/>
        <w:numPr>
          <w:ilvl w:val="0"/>
          <w:numId w:val="3"/>
        </w:numPr>
        <w:spacing w:before="240"/>
        <w:ind w:left="1264" w:hanging="357"/>
        <w:jc w:val="both"/>
        <w:rPr>
          <w:i/>
          <w:spacing w:val="-2"/>
        </w:rPr>
      </w:pPr>
      <w:r w:rsidRPr="00DE0C53">
        <w:rPr>
          <w:i/>
          <w:spacing w:val="-2"/>
        </w:rPr>
        <w:t>Valid VAT Registration Certificate (if applicable)</w:t>
      </w:r>
    </w:p>
    <w:p w:rsidR="00415970" w:rsidRPr="00DE0C53" w:rsidRDefault="00415970" w:rsidP="00415970">
      <w:pPr>
        <w:pStyle w:val="ListParagraph"/>
        <w:numPr>
          <w:ilvl w:val="0"/>
          <w:numId w:val="3"/>
        </w:numPr>
        <w:spacing w:before="240"/>
        <w:ind w:left="1264" w:hanging="357"/>
        <w:jc w:val="both"/>
        <w:rPr>
          <w:i/>
          <w:spacing w:val="-2"/>
        </w:rPr>
      </w:pPr>
      <w:r w:rsidRPr="00DE0C53">
        <w:rPr>
          <w:i/>
          <w:spacing w:val="-2"/>
        </w:rPr>
        <w:t>Valid Business Registration Certificate</w:t>
      </w:r>
    </w:p>
    <w:p w:rsidR="00415970" w:rsidRPr="00DE0C53" w:rsidRDefault="00415970" w:rsidP="00415970">
      <w:pPr>
        <w:pStyle w:val="ListParagraph"/>
        <w:numPr>
          <w:ilvl w:val="0"/>
          <w:numId w:val="3"/>
        </w:numPr>
        <w:spacing w:before="240"/>
        <w:ind w:left="1264" w:hanging="357"/>
        <w:jc w:val="both"/>
        <w:rPr>
          <w:i/>
          <w:spacing w:val="-2"/>
        </w:rPr>
      </w:pPr>
      <w:r w:rsidRPr="00DE0C53">
        <w:rPr>
          <w:i/>
          <w:spacing w:val="-2"/>
        </w:rPr>
        <w:t>Valid Certificate of Incorporation</w:t>
      </w:r>
    </w:p>
    <w:p w:rsidR="00415970" w:rsidRPr="00DE0C53" w:rsidRDefault="00415970" w:rsidP="00415970">
      <w:pPr>
        <w:pStyle w:val="ListParagraph"/>
        <w:numPr>
          <w:ilvl w:val="0"/>
          <w:numId w:val="3"/>
        </w:numPr>
        <w:spacing w:before="240"/>
        <w:ind w:left="1264" w:hanging="357"/>
        <w:jc w:val="both"/>
        <w:rPr>
          <w:i/>
          <w:spacing w:val="-2"/>
        </w:rPr>
      </w:pPr>
      <w:r w:rsidRPr="00DE0C53">
        <w:rPr>
          <w:i/>
          <w:spacing w:val="-2"/>
        </w:rPr>
        <w:t xml:space="preserve">Valid Certificate to </w:t>
      </w:r>
      <w:proofErr w:type="gramStart"/>
      <w:r w:rsidRPr="00DE0C53">
        <w:rPr>
          <w:i/>
          <w:spacing w:val="-2"/>
        </w:rPr>
        <w:t>Commence  Business</w:t>
      </w:r>
      <w:proofErr w:type="gramEnd"/>
    </w:p>
    <w:p w:rsidR="00415970" w:rsidRPr="00DE0C53" w:rsidRDefault="00415970" w:rsidP="00415970">
      <w:pPr>
        <w:pStyle w:val="ListParagraph"/>
        <w:numPr>
          <w:ilvl w:val="0"/>
          <w:numId w:val="3"/>
        </w:numPr>
        <w:spacing w:before="240"/>
        <w:ind w:left="1264" w:hanging="357"/>
        <w:jc w:val="both"/>
        <w:rPr>
          <w:i/>
          <w:spacing w:val="-2"/>
        </w:rPr>
      </w:pPr>
      <w:r w:rsidRPr="00DE0C53">
        <w:rPr>
          <w:i/>
          <w:spacing w:val="-2"/>
        </w:rPr>
        <w:t>Valid Registration Certificate from PPA</w:t>
      </w:r>
    </w:p>
    <w:p w:rsidR="00415970" w:rsidRPr="00DE0C53" w:rsidRDefault="00415970" w:rsidP="00415970">
      <w:pPr>
        <w:pStyle w:val="ListParagraph"/>
        <w:numPr>
          <w:ilvl w:val="0"/>
          <w:numId w:val="1"/>
        </w:numPr>
        <w:spacing w:before="240" w:after="240"/>
        <w:ind w:left="547" w:hanging="547"/>
        <w:contextualSpacing w:val="0"/>
        <w:jc w:val="both"/>
        <w:rPr>
          <w:spacing w:val="-2"/>
        </w:rPr>
      </w:pPr>
      <w:r w:rsidRPr="00DE0C53">
        <w:rPr>
          <w:spacing w:val="-2"/>
        </w:rPr>
        <w:t>The Tender document may be procured by interested Tenderers upon the submission of a written application to the address below and upon payment of a nonrefundable fee</w:t>
      </w:r>
      <w:r w:rsidRPr="00DE0C53">
        <w:rPr>
          <w:rStyle w:val="FootnoteReference"/>
          <w:spacing w:val="-2"/>
        </w:rPr>
        <w:footnoteReference w:id="1"/>
      </w:r>
      <w:r w:rsidRPr="00DE0C53">
        <w:rPr>
          <w:spacing w:val="-2"/>
        </w:rPr>
        <w:t xml:space="preserve"> of </w:t>
      </w:r>
      <w:r w:rsidRPr="00B420B9">
        <w:rPr>
          <w:b/>
          <w:spacing w:val="-2"/>
        </w:rPr>
        <w:t xml:space="preserve">Five Hundred Ghana </w:t>
      </w:r>
      <w:proofErr w:type="spellStart"/>
      <w:r w:rsidRPr="00B420B9">
        <w:rPr>
          <w:b/>
          <w:spacing w:val="-2"/>
        </w:rPr>
        <w:t>Cedis</w:t>
      </w:r>
      <w:proofErr w:type="spellEnd"/>
      <w:r w:rsidRPr="00B420B9">
        <w:rPr>
          <w:b/>
          <w:spacing w:val="-2"/>
        </w:rPr>
        <w:t xml:space="preserve"> (</w:t>
      </w:r>
      <w:r>
        <w:rPr>
          <w:b/>
          <w:spacing w:val="-2"/>
        </w:rPr>
        <w:t>GHȼ 500.00</w:t>
      </w:r>
      <w:r w:rsidRPr="00B420B9">
        <w:rPr>
          <w:b/>
          <w:spacing w:val="-2"/>
        </w:rPr>
        <w:t>)</w:t>
      </w:r>
      <w:r w:rsidRPr="00DE0C53">
        <w:rPr>
          <w:spacing w:val="-2"/>
        </w:rPr>
        <w:t xml:space="preserve">. The method of payment will be </w:t>
      </w:r>
      <w:r>
        <w:rPr>
          <w:spacing w:val="-2"/>
        </w:rPr>
        <w:t>cash.</w:t>
      </w:r>
    </w:p>
    <w:p w:rsidR="00415970" w:rsidRPr="00DE0C53" w:rsidRDefault="00415970" w:rsidP="00415970">
      <w:pPr>
        <w:pStyle w:val="ListParagraph"/>
        <w:numPr>
          <w:ilvl w:val="0"/>
          <w:numId w:val="1"/>
        </w:numPr>
        <w:spacing w:before="240" w:after="240"/>
        <w:ind w:left="547" w:hanging="547"/>
        <w:contextualSpacing w:val="0"/>
        <w:jc w:val="both"/>
        <w:rPr>
          <w:spacing w:val="-2"/>
        </w:rPr>
      </w:pPr>
      <w:r w:rsidRPr="00DE0C53">
        <w:rPr>
          <w:spacing w:val="-2"/>
        </w:rPr>
        <w:t xml:space="preserve">Tenders must be delivered to the address below on or before </w:t>
      </w:r>
      <w:r>
        <w:rPr>
          <w:b/>
          <w:i/>
          <w:spacing w:val="-2"/>
        </w:rPr>
        <w:t>11:00 am, 27</w:t>
      </w:r>
      <w:r w:rsidRPr="008B5B26">
        <w:rPr>
          <w:b/>
          <w:i/>
          <w:spacing w:val="-2"/>
          <w:vertAlign w:val="superscript"/>
        </w:rPr>
        <w:t>th</w:t>
      </w:r>
      <w:r w:rsidRPr="008B5B26">
        <w:rPr>
          <w:b/>
          <w:i/>
          <w:spacing w:val="-2"/>
        </w:rPr>
        <w:t xml:space="preserve"> April, 2021</w:t>
      </w:r>
      <w:r w:rsidRPr="00DE0C53">
        <w:rPr>
          <w:i/>
          <w:spacing w:val="-2"/>
        </w:rPr>
        <w:t>.</w:t>
      </w:r>
      <w:r>
        <w:t xml:space="preserve"> Electronic Tendering </w:t>
      </w:r>
      <w:r w:rsidRPr="008B5B26">
        <w:rPr>
          <w:b/>
          <w:i/>
          <w:iCs/>
        </w:rPr>
        <w:t xml:space="preserve">will not </w:t>
      </w:r>
      <w:r w:rsidRPr="008B5B26">
        <w:rPr>
          <w:b/>
        </w:rPr>
        <w:t>be</w:t>
      </w:r>
      <w:r w:rsidRPr="00DE0C53">
        <w:t xml:space="preserve"> permitted.</w:t>
      </w:r>
      <w:r w:rsidRPr="00DE0C53">
        <w:rPr>
          <w:spacing w:val="-2"/>
        </w:rPr>
        <w:t xml:space="preserve"> Late Tenders will be rejected. Tenders will be publicly opened in the presence of the Tenderers’ designated representatives and anyone who chooses to attend, at the address below on </w:t>
      </w:r>
      <w:r>
        <w:rPr>
          <w:b/>
          <w:i/>
          <w:spacing w:val="-2"/>
        </w:rPr>
        <w:t>11:00 am, 27</w:t>
      </w:r>
      <w:r w:rsidRPr="008B5B26">
        <w:rPr>
          <w:b/>
          <w:i/>
          <w:spacing w:val="-2"/>
          <w:vertAlign w:val="superscript"/>
        </w:rPr>
        <w:t>th</w:t>
      </w:r>
      <w:r w:rsidRPr="008B5B26">
        <w:rPr>
          <w:b/>
          <w:i/>
          <w:spacing w:val="-2"/>
        </w:rPr>
        <w:t xml:space="preserve"> April, 2021</w:t>
      </w:r>
      <w:r w:rsidRPr="00DE0C53">
        <w:rPr>
          <w:spacing w:val="-2"/>
        </w:rPr>
        <w:t>.</w:t>
      </w:r>
      <w:r w:rsidRPr="00DE0C53">
        <w:rPr>
          <w:spacing w:val="-2"/>
          <w:vertAlign w:val="superscript"/>
        </w:rPr>
        <w:t xml:space="preserve"> </w:t>
      </w:r>
    </w:p>
    <w:p w:rsidR="00415970" w:rsidRPr="00415970" w:rsidRDefault="00415970" w:rsidP="004E4253">
      <w:pPr>
        <w:pStyle w:val="ListParagraph"/>
        <w:numPr>
          <w:ilvl w:val="0"/>
          <w:numId w:val="1"/>
        </w:numPr>
        <w:spacing w:before="240" w:after="240"/>
        <w:ind w:left="547" w:hanging="547"/>
        <w:contextualSpacing w:val="0"/>
        <w:jc w:val="both"/>
        <w:rPr>
          <w:i/>
        </w:rPr>
      </w:pPr>
      <w:r w:rsidRPr="00415970">
        <w:rPr>
          <w:iCs/>
        </w:rPr>
        <w:t>The address referred to above is:</w:t>
      </w:r>
    </w:p>
    <w:p w:rsidR="00415970" w:rsidRDefault="00415970" w:rsidP="00415970"/>
    <w:p w:rsidR="00415970" w:rsidRDefault="00415970" w:rsidP="00415970">
      <w:pPr>
        <w:jc w:val="both"/>
        <w:rPr>
          <w:b/>
          <w:i/>
          <w:sz w:val="22"/>
          <w:szCs w:val="22"/>
        </w:rPr>
      </w:pPr>
      <w:r>
        <w:rPr>
          <w:b/>
          <w:i/>
          <w:sz w:val="22"/>
          <w:szCs w:val="22"/>
        </w:rPr>
        <w:t xml:space="preserve">           Chief Manager, Materials</w:t>
      </w:r>
    </w:p>
    <w:p w:rsidR="00415970" w:rsidRDefault="00415970" w:rsidP="00415970">
      <w:pPr>
        <w:jc w:val="both"/>
        <w:rPr>
          <w:b/>
          <w:i/>
          <w:sz w:val="22"/>
          <w:szCs w:val="22"/>
        </w:rPr>
      </w:pPr>
      <w:r>
        <w:rPr>
          <w:b/>
          <w:i/>
          <w:sz w:val="22"/>
          <w:szCs w:val="22"/>
        </w:rPr>
        <w:t xml:space="preserve">          Ghana Water Company Limited (Head Office)</w:t>
      </w:r>
    </w:p>
    <w:p w:rsidR="00415970" w:rsidRPr="008500C9" w:rsidRDefault="00415970" w:rsidP="00415970">
      <w:pPr>
        <w:jc w:val="both"/>
        <w:rPr>
          <w:i/>
          <w:sz w:val="22"/>
          <w:szCs w:val="22"/>
        </w:rPr>
      </w:pPr>
      <w:r>
        <w:rPr>
          <w:i/>
          <w:sz w:val="22"/>
          <w:szCs w:val="22"/>
        </w:rPr>
        <w:t xml:space="preserve">          </w:t>
      </w:r>
      <w:r w:rsidRPr="008500C9">
        <w:rPr>
          <w:i/>
          <w:sz w:val="22"/>
          <w:szCs w:val="22"/>
        </w:rPr>
        <w:t>28</w:t>
      </w:r>
      <w:r w:rsidRPr="008500C9">
        <w:rPr>
          <w:i/>
          <w:sz w:val="22"/>
          <w:szCs w:val="22"/>
          <w:vertAlign w:val="superscript"/>
        </w:rPr>
        <w:t>th</w:t>
      </w:r>
      <w:r w:rsidRPr="008500C9">
        <w:rPr>
          <w:i/>
          <w:sz w:val="22"/>
          <w:szCs w:val="22"/>
        </w:rPr>
        <w:t xml:space="preserve"> February Road, Ministries </w:t>
      </w:r>
    </w:p>
    <w:p w:rsidR="00415970" w:rsidRPr="00E519EF" w:rsidRDefault="00415970" w:rsidP="00415970">
      <w:pPr>
        <w:jc w:val="both"/>
        <w:rPr>
          <w:i/>
          <w:sz w:val="22"/>
          <w:szCs w:val="22"/>
        </w:rPr>
      </w:pPr>
      <w:r>
        <w:rPr>
          <w:i/>
          <w:sz w:val="22"/>
          <w:szCs w:val="22"/>
        </w:rPr>
        <w:t xml:space="preserve">          P. O. Box M.194 Ministries </w:t>
      </w:r>
      <w:smartTag w:uri="urn:schemas-microsoft-com:office:smarttags" w:element="place">
        <w:smartTag w:uri="urn:schemas-microsoft-com:office:smarttags" w:element="City">
          <w:r>
            <w:rPr>
              <w:i/>
              <w:sz w:val="22"/>
              <w:szCs w:val="22"/>
            </w:rPr>
            <w:t>Accra</w:t>
          </w:r>
        </w:smartTag>
      </w:smartTag>
    </w:p>
    <w:p w:rsidR="00415970" w:rsidRPr="00E519EF" w:rsidRDefault="00415970" w:rsidP="00415970">
      <w:pPr>
        <w:jc w:val="both"/>
        <w:rPr>
          <w:i/>
          <w:sz w:val="22"/>
          <w:szCs w:val="22"/>
        </w:rPr>
      </w:pPr>
      <w:r>
        <w:rPr>
          <w:i/>
          <w:sz w:val="22"/>
          <w:szCs w:val="22"/>
        </w:rPr>
        <w:t xml:space="preserve">         Tel.: 233-302-634-390/ 054 8674407</w:t>
      </w:r>
    </w:p>
    <w:p w:rsidR="00415970" w:rsidRDefault="00415970" w:rsidP="00415970">
      <w:pPr>
        <w:rPr>
          <w:rStyle w:val="Hyperlink"/>
          <w:i/>
          <w:sz w:val="22"/>
          <w:szCs w:val="22"/>
        </w:rPr>
      </w:pPr>
      <w:r>
        <w:rPr>
          <w:i/>
          <w:sz w:val="22"/>
          <w:szCs w:val="22"/>
        </w:rPr>
        <w:t xml:space="preserve">        E-mail: </w:t>
      </w:r>
      <w:hyperlink r:id="rId7" w:history="1">
        <w:r w:rsidRPr="004F0942">
          <w:rPr>
            <w:rStyle w:val="Hyperlink"/>
            <w:i/>
            <w:sz w:val="22"/>
            <w:szCs w:val="22"/>
          </w:rPr>
          <w:t>info@gwcl.com.gh</w:t>
        </w:r>
      </w:hyperlink>
    </w:p>
    <w:p w:rsidR="005F20EA" w:rsidRPr="008507EF" w:rsidRDefault="005F20EA" w:rsidP="005F20EA">
      <w:pPr>
        <w:pStyle w:val="SPDh2"/>
        <w:rPr>
          <w:sz w:val="24"/>
          <w:szCs w:val="24"/>
        </w:rPr>
      </w:pPr>
      <w:r w:rsidRPr="008507EF">
        <w:rPr>
          <w:sz w:val="24"/>
          <w:szCs w:val="24"/>
        </w:rPr>
        <w:lastRenderedPageBreak/>
        <w:t xml:space="preserve">Section I – Invitation for Tenders </w:t>
      </w:r>
    </w:p>
    <w:p w:rsidR="005F20EA" w:rsidRPr="008507EF" w:rsidRDefault="005F20EA" w:rsidP="005F20EA">
      <w:pPr>
        <w:pStyle w:val="Heading1a"/>
        <w:keepNext w:val="0"/>
        <w:keepLines w:val="0"/>
        <w:tabs>
          <w:tab w:val="clear" w:pos="-720"/>
        </w:tabs>
        <w:suppressAutoHyphens w:val="0"/>
        <w:rPr>
          <w:bCs/>
          <w:smallCaps w:val="0"/>
          <w:sz w:val="24"/>
        </w:rPr>
      </w:pPr>
      <w:r w:rsidRPr="008507EF">
        <w:rPr>
          <w:bCs/>
          <w:smallCaps w:val="0"/>
          <w:sz w:val="24"/>
        </w:rPr>
        <w:t>Framework Agreement</w:t>
      </w:r>
      <w:r>
        <w:rPr>
          <w:bCs/>
          <w:smallCaps w:val="0"/>
          <w:sz w:val="24"/>
        </w:rPr>
        <w:t xml:space="preserve"> </w:t>
      </w:r>
      <w:r w:rsidRPr="008507EF">
        <w:rPr>
          <w:bCs/>
          <w:smallCaps w:val="0"/>
          <w:sz w:val="24"/>
        </w:rPr>
        <w:t>(Primary Procurement)</w:t>
      </w:r>
    </w:p>
    <w:p w:rsidR="005F20EA" w:rsidRDefault="005F20EA" w:rsidP="005F20EA">
      <w:pPr>
        <w:rPr>
          <w:b/>
        </w:rPr>
      </w:pPr>
    </w:p>
    <w:p w:rsidR="005F20EA" w:rsidRDefault="005F20EA" w:rsidP="005F20EA">
      <w:pPr>
        <w:jc w:val="center"/>
        <w:rPr>
          <w:b/>
          <w:sz w:val="32"/>
          <w:szCs w:val="32"/>
        </w:rPr>
      </w:pPr>
      <w:r w:rsidRPr="008507EF">
        <w:rPr>
          <w:b/>
          <w:sz w:val="32"/>
          <w:szCs w:val="32"/>
        </w:rPr>
        <w:t>Ghana Water Company Limited</w:t>
      </w:r>
    </w:p>
    <w:p w:rsidR="005F20EA" w:rsidRDefault="005F20EA" w:rsidP="005F20EA">
      <w:pPr>
        <w:ind w:left="-540" w:right="-540"/>
        <w:jc w:val="center"/>
        <w:rPr>
          <w:b/>
        </w:rPr>
      </w:pPr>
    </w:p>
    <w:p w:rsidR="005F20EA" w:rsidRDefault="005F20EA" w:rsidP="005F20EA">
      <w:pPr>
        <w:ind w:left="-540" w:right="-540"/>
        <w:jc w:val="center"/>
        <w:rPr>
          <w:b/>
        </w:rPr>
      </w:pPr>
      <w:r w:rsidRPr="007D24A3">
        <w:rPr>
          <w:b/>
        </w:rPr>
        <w:t xml:space="preserve">FRAMEWORK AGREEMENT FOR </w:t>
      </w:r>
    </w:p>
    <w:p w:rsidR="005F20EA" w:rsidRPr="007D24A3" w:rsidRDefault="005F20EA" w:rsidP="005F20EA">
      <w:pPr>
        <w:ind w:left="-540" w:right="-540"/>
        <w:jc w:val="center"/>
        <w:rPr>
          <w:b/>
        </w:rPr>
      </w:pPr>
      <w:r w:rsidRPr="007D24A3">
        <w:rPr>
          <w:b/>
        </w:rPr>
        <w:t>THE PROCUREMENT OF UPVC &amp; HDPE PIPES</w:t>
      </w:r>
    </w:p>
    <w:p w:rsidR="005F20EA" w:rsidRPr="007D24A3" w:rsidRDefault="005F20EA" w:rsidP="005F20EA">
      <w:pPr>
        <w:ind w:left="-540" w:right="-540"/>
        <w:jc w:val="center"/>
        <w:rPr>
          <w:b/>
        </w:rPr>
      </w:pPr>
      <w:r w:rsidRPr="007D24A3">
        <w:rPr>
          <w:b/>
        </w:rPr>
        <w:t>NCT No.:</w:t>
      </w:r>
      <w:r>
        <w:rPr>
          <w:b/>
        </w:rPr>
        <w:t xml:space="preserve"> GR/GWCL/GD/00</w:t>
      </w:r>
      <w:r w:rsidRPr="007D24A3">
        <w:rPr>
          <w:b/>
        </w:rPr>
        <w:t>20/2021</w:t>
      </w:r>
    </w:p>
    <w:p w:rsidR="005F20EA" w:rsidRPr="008507EF" w:rsidRDefault="005F20EA" w:rsidP="005F20EA">
      <w:pPr>
        <w:jc w:val="center"/>
        <w:rPr>
          <w:b/>
          <w:sz w:val="32"/>
          <w:szCs w:val="32"/>
        </w:rPr>
      </w:pPr>
    </w:p>
    <w:p w:rsidR="005F20EA" w:rsidRPr="00DE0C53" w:rsidRDefault="005F20EA" w:rsidP="005F20EA">
      <w:pPr>
        <w:ind w:left="360" w:hanging="360"/>
        <w:jc w:val="both"/>
        <w:rPr>
          <w:vanish/>
          <w:sz w:val="19"/>
          <w:szCs w:val="19"/>
        </w:rPr>
      </w:pPr>
      <w:r w:rsidRPr="00DE0C53">
        <w:t xml:space="preserve">1. </w:t>
      </w:r>
      <w:r w:rsidRPr="00DE0C53">
        <w:tab/>
      </w:r>
      <w:r>
        <w:t xml:space="preserve">The </w:t>
      </w:r>
      <w:r w:rsidRPr="00951648">
        <w:rPr>
          <w:b/>
        </w:rPr>
        <w:t>GHANA WATER COMPANY LIMITED</w:t>
      </w:r>
      <w:r w:rsidRPr="00DE0C53">
        <w:rPr>
          <w:i/>
          <w:iCs/>
        </w:rPr>
        <w:t xml:space="preserve"> </w:t>
      </w:r>
      <w:r w:rsidRPr="00DE0C53">
        <w:t>intends to apply part of its</w:t>
      </w:r>
      <w:r>
        <w:t xml:space="preserve"> </w:t>
      </w:r>
      <w:r w:rsidRPr="00DE0C53">
        <w:t xml:space="preserve">budgetary allocation to fund eligible payments </w:t>
      </w:r>
      <w:r w:rsidRPr="00DE0C53">
        <w:rPr>
          <w:spacing w:val="-2"/>
        </w:rPr>
        <w:t xml:space="preserve">under Call-off Contracts that may be awarded under the </w:t>
      </w:r>
      <w:r w:rsidRPr="00F97DC2">
        <w:rPr>
          <w:spacing w:val="-2"/>
        </w:rPr>
        <w:t>Framework Agreement</w:t>
      </w:r>
      <w:r w:rsidRPr="00DE0C53">
        <w:rPr>
          <w:i/>
          <w:spacing w:val="-2"/>
        </w:rPr>
        <w:t xml:space="preserve"> (FWA</w:t>
      </w:r>
      <w:r>
        <w:rPr>
          <w:i/>
          <w:spacing w:val="-2"/>
        </w:rPr>
        <w:t xml:space="preserve">) </w:t>
      </w:r>
      <w:r w:rsidRPr="00DE0C53">
        <w:rPr>
          <w:spacing w:val="-2"/>
        </w:rPr>
        <w:t>concluded through this IFT Primary Procurement process.</w:t>
      </w:r>
      <w:r w:rsidRPr="00DE0C53">
        <w:rPr>
          <w:i/>
          <w:iCs/>
        </w:rPr>
        <w:t xml:space="preserve">  </w:t>
      </w:r>
    </w:p>
    <w:p w:rsidR="005F20EA" w:rsidRPr="00DE0C53" w:rsidRDefault="005F20EA" w:rsidP="005F20EA"/>
    <w:p w:rsidR="005F20EA" w:rsidRDefault="005F20EA" w:rsidP="005F20EA"/>
    <w:p w:rsidR="005F20EA" w:rsidRPr="005A4FEA" w:rsidRDefault="005F20EA" w:rsidP="005F20EA">
      <w:pPr>
        <w:rPr>
          <w:b/>
        </w:rPr>
      </w:pPr>
      <w:r>
        <w:t xml:space="preserve">        </w:t>
      </w:r>
      <w:r w:rsidRPr="00DE0C53">
        <w:t xml:space="preserve">BRIEF DESCRIPTION OF GOODS: </w:t>
      </w:r>
      <w:r w:rsidRPr="005A4FEA">
        <w:rPr>
          <w:b/>
        </w:rPr>
        <w:t xml:space="preserve">Supply and Delivery of various quantities and  </w:t>
      </w:r>
    </w:p>
    <w:p w:rsidR="005F20EA" w:rsidRPr="005A4FEA" w:rsidRDefault="005F20EA" w:rsidP="005F20EA">
      <w:pPr>
        <w:rPr>
          <w:b/>
        </w:rPr>
      </w:pPr>
      <w:r w:rsidRPr="005A4FEA">
        <w:rPr>
          <w:b/>
        </w:rPr>
        <w:t xml:space="preserve">        sizes of UPVC &amp; HDPE Pipes.</w:t>
      </w:r>
    </w:p>
    <w:p w:rsidR="005F20EA" w:rsidRPr="005A4FEA" w:rsidRDefault="005F20EA" w:rsidP="005F20EA">
      <w:r>
        <w:t xml:space="preserve">                                                                      </w:t>
      </w:r>
    </w:p>
    <w:p w:rsidR="005F20EA" w:rsidRPr="000103C2" w:rsidRDefault="005F20EA" w:rsidP="005F20EA">
      <w:pPr>
        <w:ind w:left="360" w:hanging="360"/>
        <w:jc w:val="both"/>
        <w:rPr>
          <w:b/>
          <w:iCs/>
          <w:spacing w:val="-2"/>
        </w:rPr>
      </w:pPr>
      <w:r w:rsidRPr="00DE0C53">
        <w:rPr>
          <w:spacing w:val="-2"/>
        </w:rPr>
        <w:t>2.</w:t>
      </w:r>
      <w:r w:rsidRPr="00DE0C53">
        <w:rPr>
          <w:spacing w:val="-2"/>
        </w:rPr>
        <w:tab/>
        <w:t>The Procurement Entity</w:t>
      </w:r>
      <w:r>
        <w:rPr>
          <w:spacing w:val="-2"/>
        </w:rPr>
        <w:t xml:space="preserve"> </w:t>
      </w:r>
      <w:r w:rsidRPr="00DE0C53">
        <w:rPr>
          <w:spacing w:val="-2"/>
        </w:rPr>
        <w:t xml:space="preserve">is undertaking the Primary Procurement with a view to concluding </w:t>
      </w:r>
      <w:r w:rsidRPr="00F97DC2">
        <w:rPr>
          <w:spacing w:val="-2"/>
        </w:rPr>
        <w:t>a Framework</w:t>
      </w:r>
      <w:r w:rsidRPr="00DE0C53">
        <w:rPr>
          <w:i/>
          <w:spacing w:val="-2"/>
        </w:rPr>
        <w:t xml:space="preserve"> </w:t>
      </w:r>
      <w:r w:rsidRPr="00F97DC2">
        <w:rPr>
          <w:spacing w:val="-2"/>
        </w:rPr>
        <w:t>Agreement</w:t>
      </w:r>
      <w:r>
        <w:rPr>
          <w:spacing w:val="-2"/>
        </w:rPr>
        <w:t>.</w:t>
      </w:r>
      <w:r>
        <w:rPr>
          <w:i/>
          <w:spacing w:val="-2"/>
        </w:rPr>
        <w:t xml:space="preserve"> </w:t>
      </w:r>
      <w:r w:rsidRPr="00DE0C53">
        <w:rPr>
          <w:spacing w:val="-2"/>
        </w:rPr>
        <w:t>The Procurement Entity</w:t>
      </w:r>
      <w:r>
        <w:rPr>
          <w:spacing w:val="-2"/>
        </w:rPr>
        <w:t xml:space="preserve"> </w:t>
      </w:r>
      <w:r w:rsidRPr="00F97DC2">
        <w:rPr>
          <w:spacing w:val="-2"/>
        </w:rPr>
        <w:t>is the sole Entity under the Framework Agreement</w:t>
      </w:r>
      <w:r w:rsidRPr="00F97DC2">
        <w:t>.</w:t>
      </w:r>
      <w:r w:rsidRPr="00DE0C53">
        <w:rPr>
          <w:spacing w:val="-2"/>
        </w:rPr>
        <w:t xml:space="preserve"> The Procurement Entity now invites sealed Tenders from eligible Tenderers </w:t>
      </w:r>
      <w:r w:rsidRPr="00F97DC2">
        <w:rPr>
          <w:spacing w:val="-2"/>
        </w:rPr>
        <w:t xml:space="preserve">for </w:t>
      </w:r>
      <w:r>
        <w:rPr>
          <w:spacing w:val="-2"/>
        </w:rPr>
        <w:t>the Supply and D</w:t>
      </w:r>
      <w:r w:rsidRPr="00F97DC2">
        <w:rPr>
          <w:spacing w:val="-2"/>
        </w:rPr>
        <w:t>elivery of various quantities of UPVC &amp; HDPE pipes</w:t>
      </w:r>
      <w:r>
        <w:rPr>
          <w:spacing w:val="-2"/>
        </w:rPr>
        <w:t xml:space="preserve"> at various sites and locations across the country,</w:t>
      </w:r>
      <w:r w:rsidRPr="00F97DC2">
        <w:rPr>
          <w:iCs/>
          <w:spacing w:val="-2"/>
        </w:rPr>
        <w:t xml:space="preserve"> over a </w:t>
      </w:r>
      <w:r w:rsidRPr="007D24A3">
        <w:rPr>
          <w:b/>
          <w:iCs/>
          <w:spacing w:val="-2"/>
        </w:rPr>
        <w:t xml:space="preserve">two (2) year period, extendable upon expiry for </w:t>
      </w:r>
      <w:r>
        <w:rPr>
          <w:b/>
          <w:iCs/>
          <w:spacing w:val="-2"/>
        </w:rPr>
        <w:t xml:space="preserve">an additional </w:t>
      </w:r>
      <w:r w:rsidRPr="007D24A3">
        <w:rPr>
          <w:b/>
          <w:iCs/>
          <w:spacing w:val="-2"/>
        </w:rPr>
        <w:t>one</w:t>
      </w:r>
      <w:r>
        <w:rPr>
          <w:b/>
          <w:iCs/>
          <w:spacing w:val="-2"/>
        </w:rPr>
        <w:t xml:space="preserve"> </w:t>
      </w:r>
      <w:r w:rsidRPr="007D24A3">
        <w:rPr>
          <w:b/>
          <w:iCs/>
          <w:spacing w:val="-2"/>
        </w:rPr>
        <w:t>(1) year.</w:t>
      </w:r>
    </w:p>
    <w:p w:rsidR="005F20EA" w:rsidRDefault="005F20EA" w:rsidP="005F20EA">
      <w:pPr>
        <w:pStyle w:val="ListParagraph"/>
        <w:numPr>
          <w:ilvl w:val="0"/>
          <w:numId w:val="2"/>
        </w:numPr>
        <w:spacing w:before="240" w:after="240"/>
        <w:jc w:val="both"/>
        <w:rPr>
          <w:spacing w:val="-2"/>
        </w:rPr>
      </w:pPr>
      <w:r w:rsidRPr="00DE0C53">
        <w:rPr>
          <w:iCs/>
          <w:spacing w:val="-2"/>
        </w:rPr>
        <w:t xml:space="preserve">The </w:t>
      </w:r>
      <w:r w:rsidRPr="00F97DC2">
        <w:rPr>
          <w:iCs/>
          <w:spacing w:val="-2"/>
        </w:rPr>
        <w:t>Framework Agreement</w:t>
      </w:r>
      <w:r>
        <w:rPr>
          <w:iCs/>
          <w:spacing w:val="-2"/>
        </w:rPr>
        <w:t xml:space="preserve"> </w:t>
      </w:r>
      <w:r w:rsidRPr="00DE0C53">
        <w:rPr>
          <w:spacing w:val="-2"/>
        </w:rPr>
        <w:t>to be concluded will be</w:t>
      </w:r>
      <w:r>
        <w:rPr>
          <w:spacing w:val="-2"/>
        </w:rPr>
        <w:t xml:space="preserve"> </w:t>
      </w:r>
      <w:r w:rsidRPr="00683DD9">
        <w:rPr>
          <w:b/>
          <w:spacing w:val="-2"/>
        </w:rPr>
        <w:t>Single-User</w:t>
      </w:r>
      <w:r>
        <w:rPr>
          <w:spacing w:val="-2"/>
        </w:rPr>
        <w:t>.</w:t>
      </w:r>
      <w:r w:rsidRPr="00DE0C53">
        <w:rPr>
          <w:i/>
          <w:spacing w:val="-2"/>
        </w:rPr>
        <w:t xml:space="preserve"> </w:t>
      </w:r>
      <w:r w:rsidRPr="00DE0C53">
        <w:rPr>
          <w:spacing w:val="-2"/>
        </w:rPr>
        <w:t xml:space="preserve">The Single-User entitled to procure under the </w:t>
      </w:r>
      <w:r w:rsidRPr="00683DD9">
        <w:rPr>
          <w:iCs/>
          <w:spacing w:val="-2"/>
        </w:rPr>
        <w:t>Framework Agreement</w:t>
      </w:r>
      <w:r>
        <w:rPr>
          <w:i/>
          <w:iCs/>
          <w:spacing w:val="-2"/>
        </w:rPr>
        <w:t xml:space="preserve"> </w:t>
      </w:r>
      <w:r>
        <w:rPr>
          <w:spacing w:val="-2"/>
        </w:rPr>
        <w:t xml:space="preserve">is </w:t>
      </w:r>
      <w:r w:rsidRPr="00683DD9">
        <w:rPr>
          <w:b/>
          <w:spacing w:val="-2"/>
        </w:rPr>
        <w:t>GHANA WATER COMPANY LIMITED.</w:t>
      </w:r>
      <w:r w:rsidRPr="00DE0C53">
        <w:rPr>
          <w:spacing w:val="-2"/>
        </w:rPr>
        <w:t xml:space="preserve"> </w:t>
      </w:r>
    </w:p>
    <w:p w:rsidR="005F20EA" w:rsidRPr="00DE0C53" w:rsidRDefault="005F20EA" w:rsidP="005F20EA">
      <w:pPr>
        <w:pStyle w:val="ListParagraph"/>
        <w:spacing w:before="240" w:after="240"/>
        <w:ind w:left="360"/>
        <w:jc w:val="both"/>
        <w:rPr>
          <w:spacing w:val="-2"/>
        </w:rPr>
      </w:pPr>
    </w:p>
    <w:p w:rsidR="005F20EA" w:rsidRPr="00DE0C53" w:rsidRDefault="005F20EA" w:rsidP="005F20EA">
      <w:pPr>
        <w:pStyle w:val="ListParagraph"/>
        <w:numPr>
          <w:ilvl w:val="0"/>
          <w:numId w:val="2"/>
        </w:numPr>
        <w:spacing w:before="240" w:after="240"/>
        <w:jc w:val="both"/>
        <w:rPr>
          <w:vanish/>
          <w:sz w:val="19"/>
          <w:szCs w:val="19"/>
        </w:rPr>
      </w:pPr>
      <w:r w:rsidRPr="00DE0C53">
        <w:rPr>
          <w:spacing w:val="-2"/>
        </w:rPr>
        <w:t xml:space="preserve">The </w:t>
      </w:r>
      <w:r w:rsidRPr="00683DD9">
        <w:rPr>
          <w:iCs/>
          <w:spacing w:val="-2"/>
        </w:rPr>
        <w:t>Framework Agreement</w:t>
      </w:r>
      <w:r w:rsidRPr="00DE0C53">
        <w:rPr>
          <w:iCs/>
          <w:spacing w:val="-2"/>
        </w:rPr>
        <w:t xml:space="preserve"> to be concluded will be </w:t>
      </w:r>
      <w:r w:rsidRPr="00683DD9">
        <w:rPr>
          <w:b/>
          <w:spacing w:val="-2"/>
        </w:rPr>
        <w:t>Multi-Supplier</w:t>
      </w:r>
      <w:r w:rsidRPr="00DE0C53">
        <w:rPr>
          <w:spacing w:val="-2"/>
        </w:rPr>
        <w:t xml:space="preserve">. </w:t>
      </w:r>
    </w:p>
    <w:p w:rsidR="005F20EA" w:rsidRPr="00DE0C53" w:rsidRDefault="005F20EA" w:rsidP="005F20EA">
      <w:pPr>
        <w:spacing w:before="240" w:after="240"/>
        <w:jc w:val="both"/>
        <w:rPr>
          <w:vanish/>
          <w:sz w:val="19"/>
          <w:szCs w:val="19"/>
        </w:rPr>
      </w:pPr>
      <w:r>
        <w:rPr>
          <w:spacing w:val="-2"/>
        </w:rPr>
        <w:t xml:space="preserve"> </w:t>
      </w:r>
      <w:r w:rsidRPr="00DE0C53">
        <w:rPr>
          <w:spacing w:val="-2"/>
        </w:rPr>
        <w:t>The selection of an FWA Supplier to be awarded a Call-off Contract will be done through a Secondary Procurement process as defined in the Framework Agreement. However, the conclusion of a Framework Agreement shall not impose any obligation on the Procurement Entity to procure Goods under a Call-off Contract. The conclusion of a Framework Agreement does not guarantee that an FWA Supplier will be awarded a Call-off Contract.</w:t>
      </w:r>
      <w:r w:rsidRPr="00DE0C53">
        <w:t xml:space="preserve">  </w:t>
      </w:r>
    </w:p>
    <w:p w:rsidR="005F20EA" w:rsidRPr="00DE0C53" w:rsidRDefault="005F20EA" w:rsidP="005F20EA">
      <w:pPr>
        <w:pStyle w:val="BodyTextIndent3"/>
        <w:numPr>
          <w:ilvl w:val="0"/>
          <w:numId w:val="2"/>
        </w:numPr>
        <w:jc w:val="both"/>
      </w:pPr>
      <w:r w:rsidRPr="00DE0C53">
        <w:t>Tendering will be conducted through the National Competitive Tendering procedures specified in the Public Procurement Act, 2003 (Act 663) as amended.</w:t>
      </w:r>
    </w:p>
    <w:p w:rsidR="005F20EA" w:rsidRPr="00DE0C53" w:rsidRDefault="005F20EA" w:rsidP="005F20EA">
      <w:pPr>
        <w:ind w:left="360" w:hanging="360"/>
        <w:jc w:val="both"/>
        <w:rPr>
          <w:sz w:val="16"/>
        </w:rPr>
      </w:pPr>
    </w:p>
    <w:p w:rsidR="005F20EA" w:rsidRPr="00227205" w:rsidRDefault="005F20EA" w:rsidP="005F20EA">
      <w:pPr>
        <w:spacing w:before="240" w:after="240"/>
        <w:jc w:val="both"/>
        <w:rPr>
          <w:spacing w:val="-2"/>
        </w:rPr>
      </w:pPr>
      <w:r>
        <w:rPr>
          <w:spacing w:val="-2"/>
        </w:rPr>
        <w:t xml:space="preserve">5. </w:t>
      </w:r>
      <w:r w:rsidRPr="00227205">
        <w:rPr>
          <w:spacing w:val="-2"/>
        </w:rPr>
        <w:t xml:space="preserve">Tenderers may submit Tenders for one or more lots.  </w:t>
      </w:r>
    </w:p>
    <w:p w:rsidR="005F20EA" w:rsidRDefault="005F20EA" w:rsidP="005F20EA">
      <w:pPr>
        <w:pStyle w:val="ListParagraph"/>
        <w:numPr>
          <w:ilvl w:val="0"/>
          <w:numId w:val="2"/>
        </w:numPr>
        <w:spacing w:before="240" w:after="240"/>
        <w:jc w:val="both"/>
        <w:rPr>
          <w:spacing w:val="-2"/>
        </w:rPr>
      </w:pPr>
      <w:r w:rsidRPr="00227205">
        <w:rPr>
          <w:spacing w:val="-2"/>
        </w:rPr>
        <w:t>The Primary Procurement shall establish a Closed Framework Agreement(s). This means no new firm (s) may conclude Framework Agreement during the Term of Framework Agreement</w:t>
      </w:r>
      <w:r>
        <w:rPr>
          <w:spacing w:val="-2"/>
        </w:rPr>
        <w:t>.</w:t>
      </w:r>
    </w:p>
    <w:p w:rsidR="005F20EA" w:rsidRPr="00227205" w:rsidRDefault="005F20EA" w:rsidP="005F20EA">
      <w:pPr>
        <w:pStyle w:val="ListParagraph"/>
        <w:spacing w:before="240" w:after="240"/>
        <w:ind w:left="360"/>
        <w:jc w:val="both"/>
        <w:rPr>
          <w:spacing w:val="-2"/>
        </w:rPr>
      </w:pPr>
    </w:p>
    <w:p w:rsidR="005F20EA" w:rsidRPr="009C1AD0" w:rsidRDefault="005F20EA" w:rsidP="005F20EA">
      <w:pPr>
        <w:pStyle w:val="ListParagraph"/>
        <w:numPr>
          <w:ilvl w:val="0"/>
          <w:numId w:val="2"/>
        </w:numPr>
        <w:spacing w:before="240" w:after="240"/>
        <w:jc w:val="both"/>
        <w:rPr>
          <w:i/>
          <w:spacing w:val="-2"/>
        </w:rPr>
      </w:pPr>
      <w:r w:rsidRPr="00227205">
        <w:rPr>
          <w:spacing w:val="-2"/>
        </w:rPr>
        <w:t xml:space="preserve">Interested eligible Tenderers may obtain further information from </w:t>
      </w:r>
      <w:r w:rsidRPr="00227205">
        <w:rPr>
          <w:b/>
          <w:spacing w:val="-2"/>
        </w:rPr>
        <w:t>G</w:t>
      </w:r>
      <w:r w:rsidRPr="00227205">
        <w:rPr>
          <w:b/>
          <w:sz w:val="22"/>
          <w:szCs w:val="22"/>
        </w:rPr>
        <w:t>hana Water Company Limited Head Office, 28</w:t>
      </w:r>
      <w:r w:rsidRPr="00227205">
        <w:rPr>
          <w:b/>
          <w:sz w:val="22"/>
          <w:szCs w:val="22"/>
          <w:vertAlign w:val="superscript"/>
        </w:rPr>
        <w:t>th</w:t>
      </w:r>
      <w:r w:rsidRPr="00227205">
        <w:rPr>
          <w:b/>
          <w:sz w:val="22"/>
          <w:szCs w:val="22"/>
        </w:rPr>
        <w:t xml:space="preserve"> February Road, Ministries, Accra</w:t>
      </w:r>
      <w:r w:rsidRPr="00227205">
        <w:rPr>
          <w:sz w:val="22"/>
          <w:szCs w:val="22"/>
        </w:rPr>
        <w:t xml:space="preserve">, and inspect the Tender Documents at </w:t>
      </w:r>
      <w:r w:rsidRPr="00227205">
        <w:rPr>
          <w:b/>
          <w:sz w:val="22"/>
          <w:szCs w:val="22"/>
        </w:rPr>
        <w:t>Room 114</w:t>
      </w:r>
      <w:r w:rsidRPr="00227205">
        <w:rPr>
          <w:sz w:val="22"/>
          <w:szCs w:val="22"/>
        </w:rPr>
        <w:t xml:space="preserve"> from </w:t>
      </w:r>
      <w:r w:rsidRPr="00227205">
        <w:rPr>
          <w:b/>
          <w:sz w:val="22"/>
          <w:szCs w:val="22"/>
        </w:rPr>
        <w:t xml:space="preserve">8am to 5pm </w:t>
      </w:r>
      <w:r w:rsidRPr="00227205">
        <w:rPr>
          <w:sz w:val="22"/>
          <w:szCs w:val="22"/>
        </w:rPr>
        <w:t>during working days</w:t>
      </w:r>
      <w:r w:rsidRPr="00227205">
        <w:rPr>
          <w:i/>
          <w:spacing w:val="-2"/>
        </w:rPr>
        <w:t>.</w:t>
      </w:r>
      <w:r w:rsidRPr="00227205">
        <w:rPr>
          <w:rStyle w:val="FootnoteReference"/>
          <w:spacing w:val="-2"/>
        </w:rPr>
        <w:t xml:space="preserve"> </w:t>
      </w:r>
      <w:r w:rsidRPr="00227205">
        <w:rPr>
          <w:spacing w:val="-2"/>
        </w:rPr>
        <w:t>The Eligibility requirements include:</w:t>
      </w:r>
    </w:p>
    <w:p w:rsidR="005F20EA" w:rsidRDefault="005F20EA" w:rsidP="005F20EA">
      <w:pPr>
        <w:pStyle w:val="ListParagraph"/>
        <w:spacing w:before="240" w:after="240"/>
        <w:ind w:left="360"/>
        <w:jc w:val="both"/>
        <w:rPr>
          <w:i/>
          <w:spacing w:val="-2"/>
        </w:rPr>
      </w:pPr>
    </w:p>
    <w:p w:rsidR="005F20EA" w:rsidRDefault="005F20EA" w:rsidP="005F20EA">
      <w:pPr>
        <w:pStyle w:val="ListParagraph"/>
        <w:spacing w:before="240" w:after="240"/>
        <w:ind w:left="360"/>
        <w:jc w:val="both"/>
        <w:rPr>
          <w:i/>
          <w:spacing w:val="-2"/>
        </w:rPr>
      </w:pPr>
    </w:p>
    <w:p w:rsidR="005F20EA" w:rsidRPr="00227205" w:rsidRDefault="005F20EA" w:rsidP="005F20EA">
      <w:pPr>
        <w:pStyle w:val="ListParagraph"/>
        <w:spacing w:before="240" w:after="240"/>
        <w:ind w:left="360"/>
        <w:jc w:val="both"/>
        <w:rPr>
          <w:i/>
          <w:spacing w:val="-2"/>
        </w:rPr>
      </w:pPr>
    </w:p>
    <w:p w:rsidR="005F20EA" w:rsidRPr="006E0E14" w:rsidRDefault="005F20EA" w:rsidP="005F20EA">
      <w:pPr>
        <w:pStyle w:val="ListParagraph"/>
        <w:numPr>
          <w:ilvl w:val="0"/>
          <w:numId w:val="3"/>
        </w:numPr>
        <w:spacing w:before="240"/>
        <w:ind w:left="1264" w:hanging="357"/>
        <w:jc w:val="both"/>
        <w:rPr>
          <w:spacing w:val="-2"/>
        </w:rPr>
      </w:pPr>
      <w:r w:rsidRPr="006E0E14">
        <w:rPr>
          <w:spacing w:val="-2"/>
        </w:rPr>
        <w:lastRenderedPageBreak/>
        <w:t>Valid GRA Tax Clearance Certificate</w:t>
      </w:r>
    </w:p>
    <w:p w:rsidR="005F20EA" w:rsidRPr="006E0E14" w:rsidRDefault="005F20EA" w:rsidP="005F20EA">
      <w:pPr>
        <w:pStyle w:val="ListParagraph"/>
        <w:numPr>
          <w:ilvl w:val="0"/>
          <w:numId w:val="3"/>
        </w:numPr>
        <w:spacing w:before="240"/>
        <w:ind w:left="1264" w:hanging="357"/>
        <w:jc w:val="both"/>
        <w:rPr>
          <w:spacing w:val="-2"/>
        </w:rPr>
      </w:pPr>
      <w:r w:rsidRPr="006E0E14">
        <w:rPr>
          <w:spacing w:val="-2"/>
        </w:rPr>
        <w:t>Valid SSNIT Clearance Certificate</w:t>
      </w:r>
    </w:p>
    <w:p w:rsidR="005F20EA" w:rsidRPr="006E0E14" w:rsidRDefault="005F20EA" w:rsidP="005F20EA">
      <w:pPr>
        <w:pStyle w:val="ListParagraph"/>
        <w:numPr>
          <w:ilvl w:val="0"/>
          <w:numId w:val="3"/>
        </w:numPr>
        <w:spacing w:before="240"/>
        <w:ind w:left="1264" w:hanging="357"/>
        <w:jc w:val="both"/>
        <w:rPr>
          <w:spacing w:val="-2"/>
        </w:rPr>
      </w:pPr>
      <w:r w:rsidRPr="006E0E14">
        <w:rPr>
          <w:spacing w:val="-2"/>
        </w:rPr>
        <w:t>Valid VAT Registration Certificate (if applicable)</w:t>
      </w:r>
    </w:p>
    <w:p w:rsidR="005F20EA" w:rsidRPr="006E0E14" w:rsidRDefault="005F20EA" w:rsidP="005F20EA">
      <w:pPr>
        <w:pStyle w:val="ListParagraph"/>
        <w:numPr>
          <w:ilvl w:val="0"/>
          <w:numId w:val="3"/>
        </w:numPr>
        <w:spacing w:before="240"/>
        <w:ind w:left="1264" w:hanging="357"/>
        <w:jc w:val="both"/>
        <w:rPr>
          <w:spacing w:val="-2"/>
        </w:rPr>
      </w:pPr>
      <w:r w:rsidRPr="006E0E14">
        <w:rPr>
          <w:spacing w:val="-2"/>
        </w:rPr>
        <w:t>Valid Business Registration Certificate</w:t>
      </w:r>
    </w:p>
    <w:p w:rsidR="005F20EA" w:rsidRPr="006E0E14" w:rsidRDefault="005F20EA" w:rsidP="005F20EA">
      <w:pPr>
        <w:pStyle w:val="ListParagraph"/>
        <w:numPr>
          <w:ilvl w:val="0"/>
          <w:numId w:val="3"/>
        </w:numPr>
        <w:spacing w:before="240"/>
        <w:ind w:left="1264" w:hanging="357"/>
        <w:jc w:val="both"/>
        <w:rPr>
          <w:spacing w:val="-2"/>
        </w:rPr>
      </w:pPr>
      <w:r w:rsidRPr="006E0E14">
        <w:rPr>
          <w:spacing w:val="-2"/>
        </w:rPr>
        <w:t>Valid Certificate of Incorporation</w:t>
      </w:r>
    </w:p>
    <w:p w:rsidR="005F20EA" w:rsidRPr="006E0E14" w:rsidRDefault="005F20EA" w:rsidP="005F20EA">
      <w:pPr>
        <w:pStyle w:val="ListParagraph"/>
        <w:numPr>
          <w:ilvl w:val="0"/>
          <w:numId w:val="3"/>
        </w:numPr>
        <w:spacing w:before="240"/>
        <w:ind w:left="1264" w:hanging="357"/>
        <w:jc w:val="both"/>
        <w:rPr>
          <w:spacing w:val="-2"/>
        </w:rPr>
      </w:pPr>
      <w:r w:rsidRPr="006E0E14">
        <w:rPr>
          <w:spacing w:val="-2"/>
        </w:rPr>
        <w:t>Valid Certificate to Commence Business</w:t>
      </w:r>
    </w:p>
    <w:p w:rsidR="005F20EA" w:rsidRPr="000103C2" w:rsidRDefault="005F20EA" w:rsidP="005F20EA">
      <w:pPr>
        <w:pStyle w:val="ListParagraph"/>
        <w:numPr>
          <w:ilvl w:val="0"/>
          <w:numId w:val="3"/>
        </w:numPr>
        <w:spacing w:before="240"/>
        <w:ind w:left="1264" w:hanging="357"/>
        <w:jc w:val="both"/>
        <w:rPr>
          <w:spacing w:val="-2"/>
        </w:rPr>
      </w:pPr>
      <w:r w:rsidRPr="006E0E14">
        <w:rPr>
          <w:spacing w:val="-2"/>
        </w:rPr>
        <w:t>Valid Registration Certificate from PPA</w:t>
      </w:r>
    </w:p>
    <w:p w:rsidR="005F20EA" w:rsidRPr="00DE0C53" w:rsidRDefault="005F20EA" w:rsidP="005F20EA">
      <w:pPr>
        <w:pStyle w:val="ListParagraph"/>
        <w:numPr>
          <w:ilvl w:val="0"/>
          <w:numId w:val="2"/>
        </w:numPr>
        <w:spacing w:before="240" w:after="240"/>
        <w:contextualSpacing w:val="0"/>
        <w:jc w:val="both"/>
        <w:rPr>
          <w:spacing w:val="-2"/>
        </w:rPr>
      </w:pPr>
      <w:r w:rsidRPr="00DE0C53">
        <w:rPr>
          <w:spacing w:val="-2"/>
        </w:rPr>
        <w:t xml:space="preserve">The Tender document may be procured by interested Tenderers upon the submission of a written application to the address below and upon payment of a nonrefundable fee of </w:t>
      </w:r>
      <w:r w:rsidRPr="00713043">
        <w:rPr>
          <w:b/>
          <w:spacing w:val="-2"/>
        </w:rPr>
        <w:t xml:space="preserve">One Thousand </w:t>
      </w:r>
      <w:proofErr w:type="spellStart"/>
      <w:r w:rsidRPr="00713043">
        <w:rPr>
          <w:b/>
          <w:spacing w:val="-2"/>
        </w:rPr>
        <w:t>Cedis</w:t>
      </w:r>
      <w:proofErr w:type="spellEnd"/>
      <w:r w:rsidRPr="00713043">
        <w:rPr>
          <w:b/>
          <w:spacing w:val="-2"/>
        </w:rPr>
        <w:t xml:space="preserve"> (GHC 1000.00).</w:t>
      </w:r>
      <w:r w:rsidRPr="00DE0C53">
        <w:rPr>
          <w:spacing w:val="-2"/>
        </w:rPr>
        <w:t xml:space="preserve"> The method of payment will be </w:t>
      </w:r>
      <w:r>
        <w:rPr>
          <w:spacing w:val="-2"/>
        </w:rPr>
        <w:t xml:space="preserve">cash at </w:t>
      </w:r>
      <w:r>
        <w:rPr>
          <w:b/>
          <w:spacing w:val="-2"/>
        </w:rPr>
        <w:t>Room 10</w:t>
      </w:r>
      <w:r w:rsidRPr="006E0E14">
        <w:rPr>
          <w:b/>
          <w:spacing w:val="-2"/>
        </w:rPr>
        <w:t>3</w:t>
      </w:r>
      <w:r w:rsidRPr="00DE0C53">
        <w:rPr>
          <w:spacing w:val="-2"/>
        </w:rPr>
        <w:t>.</w:t>
      </w:r>
      <w:r>
        <w:rPr>
          <w:spacing w:val="-2"/>
        </w:rPr>
        <w:t xml:space="preserve"> The document will be picked up at </w:t>
      </w:r>
      <w:r w:rsidRPr="006E0E14">
        <w:rPr>
          <w:b/>
          <w:spacing w:val="-2"/>
        </w:rPr>
        <w:t>Room 114</w:t>
      </w:r>
      <w:r>
        <w:rPr>
          <w:spacing w:val="-2"/>
        </w:rPr>
        <w:t xml:space="preserve"> upon provision of valid GWCL cash payment receipt</w:t>
      </w:r>
      <w:r w:rsidRPr="00DE0C53">
        <w:rPr>
          <w:spacing w:val="-2"/>
        </w:rPr>
        <w:t>.</w:t>
      </w:r>
    </w:p>
    <w:p w:rsidR="005F20EA" w:rsidRPr="00DE0C53" w:rsidRDefault="005F20EA" w:rsidP="005F20EA">
      <w:pPr>
        <w:pStyle w:val="ListParagraph"/>
        <w:numPr>
          <w:ilvl w:val="0"/>
          <w:numId w:val="2"/>
        </w:numPr>
        <w:spacing w:before="240" w:after="240"/>
        <w:ind w:left="547" w:hanging="547"/>
        <w:contextualSpacing w:val="0"/>
        <w:jc w:val="both"/>
        <w:rPr>
          <w:spacing w:val="-2"/>
        </w:rPr>
      </w:pPr>
      <w:r w:rsidRPr="00DE0C53">
        <w:rPr>
          <w:spacing w:val="-2"/>
        </w:rPr>
        <w:t>Tenders must be delivered to the address below on</w:t>
      </w:r>
      <w:r>
        <w:rPr>
          <w:spacing w:val="-2"/>
        </w:rPr>
        <w:t xml:space="preserve"> or before </w:t>
      </w:r>
      <w:r w:rsidRPr="00713043">
        <w:rPr>
          <w:b/>
          <w:spacing w:val="-2"/>
        </w:rPr>
        <w:t>Thursday</w:t>
      </w:r>
      <w:r>
        <w:rPr>
          <w:spacing w:val="-2"/>
        </w:rPr>
        <w:t>, April</w:t>
      </w:r>
      <w:r w:rsidRPr="00713043">
        <w:rPr>
          <w:b/>
          <w:spacing w:val="-2"/>
        </w:rPr>
        <w:t xml:space="preserve"> 29, </w:t>
      </w:r>
      <w:r w:rsidRPr="00713043">
        <w:rPr>
          <w:b/>
          <w:i/>
          <w:spacing w:val="-2"/>
        </w:rPr>
        <w:t>2021.</w:t>
      </w:r>
      <w:r w:rsidRPr="006E0E14">
        <w:rPr>
          <w:color w:val="FF0000"/>
        </w:rPr>
        <w:t xml:space="preserve"> </w:t>
      </w:r>
      <w:r>
        <w:t xml:space="preserve">Electronic Tendering will </w:t>
      </w:r>
      <w:r w:rsidRPr="006E0E14">
        <w:rPr>
          <w:b/>
          <w:i/>
          <w:iCs/>
        </w:rPr>
        <w:t>NOT</w:t>
      </w:r>
      <w:r>
        <w:rPr>
          <w:i/>
          <w:iCs/>
        </w:rPr>
        <w:t xml:space="preserve"> </w:t>
      </w:r>
      <w:r w:rsidRPr="00DE0C53">
        <w:t>be permitted.</w:t>
      </w:r>
      <w:r w:rsidRPr="00DE0C53">
        <w:rPr>
          <w:spacing w:val="-2"/>
        </w:rPr>
        <w:t xml:space="preserve"> Late Tenders will be rejected. Tenders will be publicly opened in the presence of the Tenderers’ designated representatives and anyone who chooses to attend, at the address below on </w:t>
      </w:r>
      <w:r w:rsidRPr="00713043">
        <w:rPr>
          <w:b/>
          <w:spacing w:val="-2"/>
        </w:rPr>
        <w:t xml:space="preserve">Thursday, April 29, </w:t>
      </w:r>
      <w:r w:rsidRPr="00713043">
        <w:rPr>
          <w:b/>
          <w:i/>
          <w:spacing w:val="-2"/>
        </w:rPr>
        <w:t>2021</w:t>
      </w:r>
    </w:p>
    <w:p w:rsidR="005F20EA" w:rsidRPr="009C1AD0" w:rsidRDefault="005F20EA" w:rsidP="005F20EA">
      <w:pPr>
        <w:pStyle w:val="ListParagraph"/>
        <w:ind w:left="360"/>
        <w:jc w:val="both"/>
        <w:rPr>
          <w:b/>
          <w:sz w:val="22"/>
          <w:szCs w:val="22"/>
        </w:rPr>
      </w:pPr>
      <w:r w:rsidRPr="009C1AD0">
        <w:rPr>
          <w:b/>
          <w:sz w:val="22"/>
          <w:szCs w:val="22"/>
        </w:rPr>
        <w:t>Ghana Water Company Limited (Head Office)</w:t>
      </w:r>
    </w:p>
    <w:p w:rsidR="005F20EA" w:rsidRPr="009C1AD0" w:rsidRDefault="005F20EA" w:rsidP="005F20EA">
      <w:pPr>
        <w:jc w:val="both"/>
        <w:rPr>
          <w:sz w:val="22"/>
          <w:szCs w:val="22"/>
        </w:rPr>
      </w:pPr>
      <w:r w:rsidRPr="009C1AD0">
        <w:rPr>
          <w:sz w:val="22"/>
          <w:szCs w:val="22"/>
        </w:rPr>
        <w:t xml:space="preserve">      28</w:t>
      </w:r>
      <w:r w:rsidRPr="009C1AD0">
        <w:rPr>
          <w:sz w:val="22"/>
          <w:szCs w:val="22"/>
          <w:vertAlign w:val="superscript"/>
        </w:rPr>
        <w:t>th</w:t>
      </w:r>
      <w:r w:rsidRPr="009C1AD0">
        <w:rPr>
          <w:sz w:val="22"/>
          <w:szCs w:val="22"/>
        </w:rPr>
        <w:t xml:space="preserve"> February Road, Ministries </w:t>
      </w:r>
    </w:p>
    <w:p w:rsidR="005F20EA" w:rsidRPr="009C1AD0" w:rsidRDefault="005F20EA" w:rsidP="005F20EA">
      <w:pPr>
        <w:jc w:val="both"/>
        <w:rPr>
          <w:sz w:val="22"/>
          <w:szCs w:val="22"/>
        </w:rPr>
      </w:pPr>
      <w:r w:rsidRPr="009C1AD0">
        <w:rPr>
          <w:sz w:val="22"/>
          <w:szCs w:val="22"/>
        </w:rPr>
        <w:t xml:space="preserve">      P. O. Box M.194 Ministries Accra</w:t>
      </w:r>
    </w:p>
    <w:p w:rsidR="005F20EA" w:rsidRPr="009C1AD0" w:rsidRDefault="005F20EA" w:rsidP="005F20EA">
      <w:pPr>
        <w:jc w:val="both"/>
        <w:rPr>
          <w:sz w:val="22"/>
          <w:szCs w:val="22"/>
        </w:rPr>
      </w:pPr>
      <w:r w:rsidRPr="009C1AD0">
        <w:rPr>
          <w:sz w:val="22"/>
          <w:szCs w:val="22"/>
        </w:rPr>
        <w:t xml:space="preserve">      Tel.: 054 8674407/+233-302-634-390</w:t>
      </w:r>
    </w:p>
    <w:p w:rsidR="005F20EA" w:rsidRPr="009C1AD0" w:rsidRDefault="005F20EA" w:rsidP="005F20EA">
      <w:pPr>
        <w:jc w:val="both"/>
        <w:rPr>
          <w:sz w:val="22"/>
          <w:szCs w:val="22"/>
        </w:rPr>
      </w:pPr>
      <w:r w:rsidRPr="009C1AD0">
        <w:rPr>
          <w:sz w:val="22"/>
          <w:szCs w:val="22"/>
        </w:rPr>
        <w:t xml:space="preserve">      E-mail: </w:t>
      </w:r>
      <w:hyperlink r:id="rId8" w:history="1">
        <w:r w:rsidRPr="009C1AD0">
          <w:rPr>
            <w:color w:val="0000FF"/>
            <w:sz w:val="22"/>
            <w:szCs w:val="22"/>
            <w:u w:val="single"/>
          </w:rPr>
          <w:t>info@gwcl.com.gh</w:t>
        </w:r>
      </w:hyperlink>
    </w:p>
    <w:p w:rsidR="005F20EA" w:rsidRPr="009C1AD0" w:rsidRDefault="005F20EA" w:rsidP="005F20EA">
      <w:pPr>
        <w:spacing w:before="240" w:after="240"/>
        <w:jc w:val="both"/>
      </w:pPr>
    </w:p>
    <w:p w:rsidR="005F20EA" w:rsidRDefault="005F20EA" w:rsidP="00415970">
      <w:bookmarkStart w:id="2" w:name="_GoBack"/>
      <w:bookmarkEnd w:id="2"/>
    </w:p>
    <w:sectPr w:rsidR="005F20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A3" w:rsidRDefault="00886FA3" w:rsidP="00415970">
      <w:r>
        <w:separator/>
      </w:r>
    </w:p>
  </w:endnote>
  <w:endnote w:type="continuationSeparator" w:id="0">
    <w:p w:rsidR="00886FA3" w:rsidRDefault="00886FA3" w:rsidP="0041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A3" w:rsidRDefault="00886FA3" w:rsidP="00415970">
      <w:r>
        <w:separator/>
      </w:r>
    </w:p>
  </w:footnote>
  <w:footnote w:type="continuationSeparator" w:id="0">
    <w:p w:rsidR="00886FA3" w:rsidRDefault="00886FA3" w:rsidP="00415970">
      <w:r>
        <w:continuationSeparator/>
      </w:r>
    </w:p>
  </w:footnote>
  <w:footnote w:id="1">
    <w:p w:rsidR="00415970" w:rsidRPr="00B76369" w:rsidRDefault="00415970" w:rsidP="00415970">
      <w:pPr>
        <w:pStyle w:val="FootnoteText"/>
        <w:spacing w:after="0"/>
        <w:ind w:left="0" w:firstLine="0"/>
        <w:rPr>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80E"/>
    <w:multiLevelType w:val="hybridMultilevel"/>
    <w:tmpl w:val="5DC26180"/>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 w15:restartNumberingAfterBreak="0">
    <w:nsid w:val="629259BB"/>
    <w:multiLevelType w:val="hybridMultilevel"/>
    <w:tmpl w:val="49D873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27B8F"/>
    <w:multiLevelType w:val="hybridMultilevel"/>
    <w:tmpl w:val="02A6F464"/>
    <w:lvl w:ilvl="0" w:tplc="51966CD6">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70"/>
    <w:rsid w:val="00415970"/>
    <w:rsid w:val="005F20EA"/>
    <w:rsid w:val="00692FA2"/>
    <w:rsid w:val="0088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C5B6C49"/>
  <w15:chartTrackingRefBased/>
  <w15:docId w15:val="{ECB59767-8A06-436C-B7B8-AC5F0615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9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5970"/>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415970"/>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415970"/>
    <w:rPr>
      <w:rFonts w:ascii="Times New Roman" w:eastAsia="Times New Roman" w:hAnsi="Times New Roman" w:cs="Times New Roman"/>
      <w:sz w:val="20"/>
      <w:szCs w:val="24"/>
    </w:rPr>
  </w:style>
  <w:style w:type="character" w:styleId="FootnoteReference">
    <w:name w:val="footnote reference"/>
    <w:basedOn w:val="DefaultParagraphFont"/>
    <w:rsid w:val="00415970"/>
    <w:rPr>
      <w:vertAlign w:val="superscript"/>
    </w:rPr>
  </w:style>
  <w:style w:type="paragraph" w:styleId="ListParagraph">
    <w:name w:val="List Paragraph"/>
    <w:aliases w:val="Citation List,본문(내용),List Paragraph (numbered (a)),lp1,Resume Title,heading 4,Numbered List Paragraph,Paragraphe  revu,Bullets,Liste couleur - Accent 11,References,Liste 1,ReferencesCxSpLast,Medium Grid 1 - Accent 21"/>
    <w:basedOn w:val="Normal"/>
    <w:link w:val="ListParagraphChar"/>
    <w:uiPriority w:val="34"/>
    <w:qFormat/>
    <w:rsid w:val="00415970"/>
    <w:pPr>
      <w:ind w:left="720"/>
      <w:contextualSpacing/>
    </w:pPr>
  </w:style>
  <w:style w:type="character" w:customStyle="1" w:styleId="ListParagraphChar">
    <w:name w:val="List Paragraph Char"/>
    <w:aliases w:val="Citation List Char,본문(내용) Char,List Paragraph (numbered (a)) Char,lp1 Char,Resume Title Char,heading 4 Char,Numbered List Paragraph Char,Paragraphe  revu Char,Bullets Char,Liste couleur - Accent 11 Char,References Char,Liste 1 Char"/>
    <w:basedOn w:val="DefaultParagraphFont"/>
    <w:link w:val="ListParagraph"/>
    <w:uiPriority w:val="34"/>
    <w:rsid w:val="00415970"/>
    <w:rPr>
      <w:rFonts w:ascii="Times New Roman" w:eastAsia="Times New Roman" w:hAnsi="Times New Roman" w:cs="Times New Roman"/>
      <w:sz w:val="24"/>
      <w:szCs w:val="24"/>
    </w:rPr>
  </w:style>
  <w:style w:type="paragraph" w:styleId="BodyTextIndent3">
    <w:name w:val="Body Text Indent 3"/>
    <w:basedOn w:val="Normal"/>
    <w:link w:val="BodyTextIndent3Char"/>
    <w:rsid w:val="00415970"/>
    <w:pPr>
      <w:ind w:left="1782" w:hanging="540"/>
    </w:pPr>
  </w:style>
  <w:style w:type="character" w:customStyle="1" w:styleId="BodyTextIndent3Char">
    <w:name w:val="Body Text Indent 3 Char"/>
    <w:basedOn w:val="DefaultParagraphFont"/>
    <w:link w:val="BodyTextIndent3"/>
    <w:rsid w:val="00415970"/>
    <w:rPr>
      <w:rFonts w:ascii="Times New Roman" w:eastAsia="Times New Roman" w:hAnsi="Times New Roman" w:cs="Times New Roman"/>
      <w:sz w:val="24"/>
      <w:szCs w:val="24"/>
    </w:rPr>
  </w:style>
  <w:style w:type="paragraph" w:styleId="Title">
    <w:name w:val="Title"/>
    <w:basedOn w:val="Normal"/>
    <w:link w:val="TitleChar"/>
    <w:qFormat/>
    <w:rsid w:val="00415970"/>
    <w:pPr>
      <w:jc w:val="center"/>
    </w:pPr>
    <w:rPr>
      <w:b/>
      <w:sz w:val="48"/>
    </w:rPr>
  </w:style>
  <w:style w:type="character" w:customStyle="1" w:styleId="TitleChar">
    <w:name w:val="Title Char"/>
    <w:basedOn w:val="DefaultParagraphFont"/>
    <w:link w:val="Title"/>
    <w:rsid w:val="00415970"/>
    <w:rPr>
      <w:rFonts w:ascii="Times New Roman" w:eastAsia="Times New Roman" w:hAnsi="Times New Roman" w:cs="Times New Roman"/>
      <w:b/>
      <w:sz w:val="48"/>
      <w:szCs w:val="24"/>
    </w:rPr>
  </w:style>
  <w:style w:type="paragraph" w:customStyle="1" w:styleId="Heading1a">
    <w:name w:val="Heading 1a"/>
    <w:rsid w:val="0041597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table" w:styleId="TableGrid">
    <w:name w:val="Table Grid"/>
    <w:basedOn w:val="TableNormal"/>
    <w:uiPriority w:val="39"/>
    <w:rsid w:val="0041597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h2">
    <w:name w:val="SPDh2"/>
    <w:basedOn w:val="Normal"/>
    <w:link w:val="SPDh2Char"/>
    <w:qFormat/>
    <w:rsid w:val="00415970"/>
    <w:pPr>
      <w:jc w:val="center"/>
    </w:pPr>
    <w:rPr>
      <w:b/>
      <w:sz w:val="44"/>
      <w:szCs w:val="44"/>
    </w:rPr>
  </w:style>
  <w:style w:type="character" w:customStyle="1" w:styleId="SPDh2Char">
    <w:name w:val="SPDh2 Char"/>
    <w:basedOn w:val="DefaultParagraphFont"/>
    <w:link w:val="SPDh2"/>
    <w:rsid w:val="00415970"/>
    <w:rPr>
      <w:rFonts w:ascii="Times New Roman" w:eastAsia="Times New Roman" w:hAnsi="Times New Roman" w:cs="Times New Roman"/>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wcl.com.gh" TargetMode="External"/><Relationship Id="rId3" Type="http://schemas.openxmlformats.org/officeDocument/2006/relationships/settings" Target="settings.xml"/><Relationship Id="rId7" Type="http://schemas.openxmlformats.org/officeDocument/2006/relationships/hyperlink" Target="mailto:info@gwcl.com.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1148</Words>
  <Characters>6547</Characters>
  <Application>Microsoft Office Word</Application>
  <DocSecurity>0</DocSecurity>
  <Lines>54</Lines>
  <Paragraphs>15</Paragraphs>
  <ScaleCrop>false</ScaleCrop>
  <Company>HP</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2021-03-29T12:45:00Z</dcterms:created>
  <dcterms:modified xsi:type="dcterms:W3CDTF">2021-03-29T12:53:00Z</dcterms:modified>
</cp:coreProperties>
</file>